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600" w:lineRule="exact"/>
        <w:jc w:val="left"/>
        <w:rPr>
          <w:rFonts w:hint="eastAsia" w:ascii="方正黑体_GBK" w:hAnsi="方正黑体_GBK" w:eastAsia="方正黑体_GBK" w:cs="方正黑体_GBK"/>
          <w:color w:val="2B2B2B"/>
          <w:kern w:val="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2B2B2B"/>
          <w:kern w:val="2"/>
          <w:sz w:val="32"/>
          <w:szCs w:val="32"/>
          <w:shd w:val="clear" w:color="auto" w:fill="FFFFFF"/>
          <w:lang w:val="en-US" w:eastAsia="zh-CN"/>
        </w:rPr>
        <w:t>附件12</w:t>
      </w:r>
    </w:p>
    <w:p>
      <w:pPr>
        <w:pStyle w:val="4"/>
        <w:widowControl/>
        <w:shd w:val="clear" w:color="auto" w:fill="FFFFFF"/>
        <w:spacing w:before="0" w:beforeAutospacing="0" w:after="0" w:afterAutospacing="0" w:line="600" w:lineRule="exact"/>
        <w:jc w:val="left"/>
        <w:rPr>
          <w:rFonts w:hint="eastAsia" w:ascii="方正仿宋_GBK" w:hAnsi="方正仿宋_GBK" w:eastAsia="方正仿宋_GBK" w:cs="方正仿宋_GBK"/>
          <w:color w:val="2B2B2B"/>
          <w:kern w:val="2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60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000000"/>
          <w:sz w:val="44"/>
          <w:szCs w:val="44"/>
          <w:shd w:val="clear" w:color="auto" w:fill="FFFFFF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  <w:shd w:val="clear" w:color="auto" w:fill="FFFFFF"/>
        </w:rPr>
        <w:t>中国药科大学实验室安全分类分级管理办法</w:t>
      </w:r>
    </w:p>
    <w:p>
      <w:pPr>
        <w:pStyle w:val="4"/>
        <w:widowControl/>
        <w:shd w:val="clear" w:color="auto" w:fill="FFFFFF"/>
        <w:spacing w:before="0" w:beforeAutospacing="0" w:after="0" w:afterAutospacing="0" w:line="600" w:lineRule="exact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color w:val="000000"/>
          <w:sz w:val="44"/>
          <w:szCs w:val="44"/>
          <w:shd w:val="clear" w:color="auto" w:fill="FFFFFF"/>
        </w:rPr>
      </w:pPr>
    </w:p>
    <w:p>
      <w:pPr>
        <w:pStyle w:val="3"/>
        <w:spacing w:line="60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 xml:space="preserve">第一章 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</w:t>
      </w:r>
      <w:r>
        <w:rPr>
          <w:rFonts w:hint="eastAsia" w:ascii="方正黑体_GBK" w:hAnsi="Times New Roman" w:eastAsia="方正黑体_GBK"/>
          <w:sz w:val="32"/>
        </w:rPr>
        <w:t>总则</w:t>
      </w:r>
    </w:p>
    <w:p>
      <w:pPr>
        <w:spacing w:line="560" w:lineRule="exact"/>
        <w:ind w:firstLine="643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t>第一条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为进一步加强实验室的安全管理，强化安全风险防控意识和能力，落实实验室安全主体责任，有效预防和坚决遏制重大事故发生，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根据《中华人民共和国安全生产法》、《教育部办公厅关于开展加强高校实验室安全专项行动的通知》、《高等学校实验室安全检查项目表》和《中国药科大学实验室安全和环境保护管理办法》等文件精神，结合学校实际，特制定本办法。</w:t>
      </w:r>
    </w:p>
    <w:p>
      <w:pPr>
        <w:spacing w:line="560" w:lineRule="exact"/>
        <w:ind w:firstLine="643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第二条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本办法中所称实验室,是指学校各类教学科研实验室。 在南京地区租赁校外场所建设的实验室、因学校管辖权受限无法直接管理的实验室、南京市外各类实验室参照执行。实验室以“房间”为单元按照所涉及的危险源及安全风险程度、管理状况进行分类分级认定。</w:t>
      </w:r>
    </w:p>
    <w:p>
      <w:pPr>
        <w:pStyle w:val="3"/>
        <w:spacing w:line="56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 xml:space="preserve">第二章 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</w:t>
      </w:r>
      <w:r>
        <w:rPr>
          <w:rFonts w:hint="eastAsia" w:ascii="方正黑体_GBK" w:hAnsi="Times New Roman" w:eastAsia="方正黑体_GBK"/>
          <w:sz w:val="32"/>
        </w:rPr>
        <w:t>管理体制与职责</w:t>
      </w:r>
    </w:p>
    <w:p>
      <w:pPr>
        <w:spacing w:before="104" w:line="560" w:lineRule="exact"/>
        <w:ind w:firstLine="671" w:firstLineChars="209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t>第三条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实验室与设备管理处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实验室安全与环境保护领导小组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的领导下具体落实分类分级工作事项，指导各二级单位对实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验室实施差异化、精准化管理。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t>第四条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二级单位根据学校实验室分类分级管理要求,对本单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位实验室实施安全风险评估,进行类别和级别划分,建立本单位分类分级管理档案,制定相应的管理措施,对实验室进行分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类监控与管理,并将分类分级结果报实验室与设备管理处备案。</w:t>
      </w:r>
    </w:p>
    <w:p>
      <w:pPr>
        <w:pStyle w:val="4"/>
        <w:widowControl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第五条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实验室风险实行分类分级动态管理，当实验场所的危险源使用、存放及管理情况发生改变，实验室应重新进行安全风险等级认定，并经二级单位确认，报实验室与设备管理处备案。</w:t>
      </w:r>
    </w:p>
    <w:p>
      <w:pPr>
        <w:pStyle w:val="3"/>
        <w:spacing w:line="56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 xml:space="preserve">第三章 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</w:t>
      </w:r>
      <w:r>
        <w:rPr>
          <w:rFonts w:hint="eastAsia" w:ascii="方正黑体_GBK" w:hAnsi="Times New Roman" w:eastAsia="方正黑体_GBK"/>
          <w:sz w:val="32"/>
        </w:rPr>
        <w:t>实验室安全分类管理</w:t>
      </w:r>
    </w:p>
    <w:p>
      <w:pPr>
        <w:pStyle w:val="4"/>
        <w:widowControl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第六条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根据实验室主要存在的危险源类别，将全校实验室分为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化学类、生物类、机械电子类、其他类四大类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。</w:t>
      </w:r>
    </w:p>
    <w:p>
      <w:pPr>
        <w:spacing w:before="157" w:line="560" w:lineRule="exact"/>
        <w:ind w:left="20" w:right="238" w:firstLine="643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第七条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涉及化学反应和化学品的实验场所归属为化学类实验室，按照教学科研功能分为化学合成、化学工艺、仪器分析、常规实验等;涉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及病原微生物、实验动物的实验场所归属为生物类实验室;涉及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机械电气、高温高压、强磁、高电压等设备的实验场所归属为机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械电子类实验室;仅涉及日常水电消防安全的实验场所归属为其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他类实验室。</w:t>
      </w:r>
    </w:p>
    <w:p>
      <w:pPr>
        <w:pStyle w:val="3"/>
        <w:spacing w:line="56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>第四章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</w:t>
      </w:r>
      <w:r>
        <w:rPr>
          <w:rFonts w:hint="eastAsia" w:ascii="方正黑体_GBK" w:hAnsi="Times New Roman" w:eastAsia="方正黑体_GBK"/>
          <w:sz w:val="32"/>
        </w:rPr>
        <w:t xml:space="preserve"> 实验室安全风险分级管理</w:t>
      </w:r>
    </w:p>
    <w:p>
      <w:pPr>
        <w:pStyle w:val="4"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>第八条</w:t>
      </w:r>
      <w:r>
        <w:rPr>
          <w:rStyle w:val="7"/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Style w:val="7"/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安全风险分级标准：根据校、院实验室安全检查和实验室危险源使用、存放情况，将实验室安全风险级别划分“红”（重大风险）、“橙”（较大风险）、“黄”（一般风险）、“蓝”（低风险）4个等级。</w:t>
      </w:r>
    </w:p>
    <w:p>
      <w:pPr>
        <w:pStyle w:val="4"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napToGrid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第九条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napToGrid w:val="0"/>
          <w:sz w:val="32"/>
          <w:szCs w:val="32"/>
        </w:rPr>
        <w:t>安全风险分级的确定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（一）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按照附件“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中国药科大学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实验室风险评价指标”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 xml:space="preserve">进行风险评价： 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1.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评分≥80的划分为“红”（重大风险）；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2.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40≤评分＜80的划分为“橙”（较大风险）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3. 20≤评分＜40的划分为“黄”（一般风险）；</w:t>
      </w:r>
    </w:p>
    <w:p>
      <w:pPr>
        <w:pStyle w:val="4"/>
        <w:spacing w:before="0" w:beforeAutospacing="0" w:after="0" w:afterAutospacing="0" w:line="560" w:lineRule="exact"/>
        <w:ind w:left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4. 评分＜20的划分为“蓝”（低风险）</w:t>
      </w:r>
    </w:p>
    <w:p>
      <w:pPr>
        <w:pStyle w:val="4"/>
        <w:spacing w:before="0" w:beforeAutospacing="0" w:after="0" w:afterAutospacing="0" w:line="560" w:lineRule="exact"/>
        <w:ind w:left="561"/>
        <w:rPr>
          <w:rFonts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napToGrid w:val="0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“红”（重大风险）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实验室的直接认定条件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1. 实验室在校、院安全检查中，一次性扣满12分的；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2. 实验室存放剧毒化学品、第一类易制毒试剂、麻醉药品、高温高压特种设备、放射性物品、中试加热加压反应装置、有毒气瓶、易燃易爆气瓶、大量危险化学品等重大危险源。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 w:val="0"/>
          <w:sz w:val="32"/>
          <w:szCs w:val="32"/>
        </w:rPr>
        <w:t>（三）</w:t>
      </w:r>
      <w:r>
        <w:rPr>
          <w:rFonts w:hint="eastAsia" w:ascii="方正仿宋_GBK" w:hAnsi="方正仿宋_GBK" w:eastAsia="方正仿宋_GBK" w:cs="方正仿宋_GBK"/>
          <w:color w:val="2B2B2B"/>
          <w:sz w:val="32"/>
          <w:szCs w:val="32"/>
          <w:shd w:val="clear" w:color="auto" w:fill="FFFFFF"/>
        </w:rPr>
        <w:t>“橙”（较大风险）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实验室的直接认定条件</w:t>
      </w:r>
    </w:p>
    <w:p>
      <w:pPr>
        <w:pStyle w:val="4"/>
        <w:spacing w:before="0" w:beforeAutospacing="0" w:after="0" w:afterAutospacing="0" w:line="560" w:lineRule="exact"/>
        <w:ind w:firstLine="561"/>
        <w:rPr>
          <w:rFonts w:ascii="方正仿宋_GBK" w:hAnsi="方正仿宋_GBK" w:eastAsia="方正仿宋_GBK" w:cs="方正仿宋_GBK"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使用马弗炉等高温加热设备,使用机械加工类高速设备、全天候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不断电设备和不间断电源(不包括工作站、服务器)。</w:t>
      </w:r>
    </w:p>
    <w:p>
      <w:pPr>
        <w:pStyle w:val="4"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>第十条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实验室分级管理方式遵循以下原则：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（一）“红”（重大风险）实验室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1. 实验室应对不同的危险源制定相应的管控方案和应急预案，完善实验室相关安全管理制度；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2. 实验室应制定符合本实验室特点的安全培训内容和计划，并定期对相关人员进行安全教育；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3. 实验室安全负责老师每天组织开展自查，定期对重大危险源设施设备维护保养；二级单位和学校管理部门至少每月对实验室进行一次检查。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（二）“橙”（较大风险）实验室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1. 实验室应对不同的危险源制定相应的管控方案和应急预案，完善实验室相关安全管理制度；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2. 实验室应制定符合本实验室特点的安全培训内容和计划，并定期对相关人员进行安全教育；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3. 实验室安全负责老师每周至少开展一次检查，每日安排人员自查；二级单位和学校管理部门至少每月对实验室进行一次检查。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（三）“黄”（一般风险）、“蓝”（低风险）实验室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1. 应制定符合本实验室特点的安全培训内容和计划，并定期对相关人员进行安全教育；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2. 实验室安排人员每日自查；二级单位和学校管理部门至少每两个月对实验室进行一次检查。</w:t>
      </w:r>
    </w:p>
    <w:p>
      <w:pPr>
        <w:pStyle w:val="3"/>
        <w:spacing w:line="56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>第五章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</w:t>
      </w:r>
      <w:r>
        <w:rPr>
          <w:rFonts w:hint="eastAsia" w:ascii="方正黑体_GBK" w:hAnsi="Times New Roman" w:eastAsia="方正黑体_GBK"/>
          <w:sz w:val="32"/>
        </w:rPr>
        <w:t xml:space="preserve"> 监督实施</w:t>
      </w:r>
    </w:p>
    <w:p>
      <w:pPr>
        <w:pStyle w:val="4"/>
        <w:shd w:val="clear" w:color="auto" w:fill="FFFFFF"/>
        <w:spacing w:before="225" w:beforeAutospacing="0" w:after="225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>第十一条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当实验室的危险源和检查情况等关键因素发生改变时，实验室应当重新进行危险源辨识和风险评价，经学院审批后，向实验室与设备管理处报备后，调整风险级别。</w:t>
      </w:r>
    </w:p>
    <w:p>
      <w:pPr>
        <w:spacing w:before="1" w:line="560" w:lineRule="exact"/>
        <w:ind w:right="117" w:firstLine="654"/>
        <w:jc w:val="left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>第十二条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实验室与设备管理处对实验室分类分级实行动态调整，及时修正分类分级结果，准确实施监管。</w:t>
      </w:r>
    </w:p>
    <w:p>
      <w:pPr>
        <w:pStyle w:val="3"/>
        <w:spacing w:line="560" w:lineRule="exact"/>
        <w:rPr>
          <w:rFonts w:ascii="方正黑体_GBK" w:hAnsi="Times New Roman" w:eastAsia="方正黑体_GBK"/>
          <w:sz w:val="32"/>
        </w:rPr>
      </w:pPr>
      <w:r>
        <w:rPr>
          <w:rFonts w:hint="eastAsia" w:ascii="方正黑体_GBK" w:hAnsi="Times New Roman" w:eastAsia="方正黑体_GBK"/>
          <w:sz w:val="32"/>
        </w:rPr>
        <w:t>第六章</w:t>
      </w:r>
      <w:r>
        <w:rPr>
          <w:rFonts w:hint="eastAsia" w:ascii="方正黑体_GBK" w:hAnsi="Times New Roman" w:eastAsia="方正黑体_GBK"/>
          <w:sz w:val="32"/>
          <w:lang w:val="en-US" w:eastAsia="zh-CN"/>
        </w:rPr>
        <w:t xml:space="preserve">  </w:t>
      </w:r>
      <w:r>
        <w:rPr>
          <w:rFonts w:hint="eastAsia" w:ascii="方正黑体_GBK" w:hAnsi="Times New Roman" w:eastAsia="方正黑体_GBK"/>
          <w:sz w:val="32"/>
        </w:rPr>
        <w:t>附则</w:t>
      </w:r>
    </w:p>
    <w:p>
      <w:pPr>
        <w:pStyle w:val="4"/>
        <w:widowControl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Style w:val="7"/>
          <w:rFonts w:hint="eastAsia" w:ascii="方正仿宋_GBK" w:hAnsi="方正仿宋_GBK" w:eastAsia="方正仿宋_GBK" w:cs="方正仿宋_GBK"/>
          <w:sz w:val="32"/>
          <w:szCs w:val="32"/>
        </w:rPr>
        <w:t>第十三条</w:t>
      </w:r>
      <w:r>
        <w:rPr>
          <w:rStyle w:val="7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Style w:val="7"/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本办法未尽事宜，按照相关法律法规执行。</w:t>
      </w:r>
    </w:p>
    <w:p>
      <w:pPr>
        <w:pStyle w:val="4"/>
        <w:widowControl/>
        <w:spacing w:before="0" w:beforeAutospacing="0" w:after="0" w:afterAutospacing="0" w:line="560" w:lineRule="exact"/>
        <w:ind w:firstLine="643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Style w:val="7"/>
          <w:rFonts w:hint="eastAsia" w:ascii="方正仿宋_GBK" w:hAnsi="方正仿宋_GBK" w:eastAsia="方正仿宋_GBK" w:cs="方正仿宋_GBK"/>
          <w:sz w:val="32"/>
          <w:szCs w:val="32"/>
        </w:rPr>
        <w:t xml:space="preserve">第十四条 </w:t>
      </w:r>
      <w:r>
        <w:rPr>
          <w:rStyle w:val="7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本办法自公布之日起实施，由实验室与设备管理处负责解释。</w:t>
      </w:r>
    </w:p>
    <w:p>
      <w:pPr>
        <w:pStyle w:val="4"/>
        <w:widowControl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</w:p>
    <w:p>
      <w:pPr>
        <w:pStyle w:val="4"/>
        <w:widowControl/>
        <w:spacing w:before="0" w:beforeAutospacing="0" w:after="0" w:afterAutospacing="0" w:line="360" w:lineRule="auto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附件：《中国药科大学实验室安全风险评价指标》</w:t>
      </w: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ind w:firstLine="640" w:firstLineChars="200"/>
        <w:rPr>
          <w:rFonts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p>
      <w:pPr>
        <w:pStyle w:val="4"/>
        <w:spacing w:before="0" w:beforeAutospacing="0" w:after="0" w:afterAutospacing="0" w:line="504" w:lineRule="atLeast"/>
        <w:rPr>
          <w:rFonts w:hint="eastAsia" w:ascii="仿宋_GB2312" w:hAnsi="宋体" w:eastAsia="仿宋_GB2312" w:cs="仿宋_GB2312"/>
          <w:color w:val="2B2B2B"/>
          <w:sz w:val="32"/>
          <w:szCs w:val="32"/>
          <w:shd w:val="clear" w:color="auto" w:fill="FFFFFF"/>
        </w:rPr>
      </w:pPr>
    </w:p>
    <w:tbl>
      <w:tblPr>
        <w:tblStyle w:val="5"/>
        <w:tblW w:w="10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935"/>
        <w:gridCol w:w="3137"/>
        <w:gridCol w:w="4100"/>
        <w:gridCol w:w="1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371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中国药科大学实验室安全风险评价指标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分类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5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标准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安全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检查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年度隐患累计分值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≥50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50&gt;</w:t>
            </w: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≥30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30&gt;</w:t>
            </w:r>
            <w:r>
              <w:rPr>
                <w:rStyle w:val="10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≥10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&lt;10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隐患未整改分值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&gt;12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12&gt;</w:t>
            </w: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≥6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6&gt;</w:t>
            </w: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≥1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&lt;1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隐患达到12分（需参加继续教育）的次数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≥3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2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1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0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危险源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危险化学品存放量（按照50平方计算）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危险化学品存放量</w:t>
            </w:r>
            <w:r>
              <w:rPr>
                <w:rStyle w:val="9"/>
                <w:rFonts w:eastAsia="宋体"/>
                <w:lang w:bidi="ar"/>
              </w:rPr>
              <w:t>≥100kg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危险化学品存放量</w:t>
            </w:r>
            <w:r>
              <w:rPr>
                <w:rStyle w:val="9"/>
                <w:rFonts w:eastAsia="宋体"/>
                <w:lang w:bidi="ar"/>
              </w:rPr>
              <w:t>≥0kg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rPr>
          <w:trHeight w:val="20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不涉及危险化学品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危险废物产生量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年产废量</w:t>
            </w:r>
            <w:r>
              <w:rPr>
                <w:rStyle w:val="11"/>
                <w:rFonts w:eastAsia="宋体"/>
                <w:lang w:bidi="ar"/>
              </w:rPr>
              <w:t>≥</w:t>
            </w:r>
            <w:r>
              <w:rPr>
                <w:rStyle w:val="8"/>
                <w:rFonts w:hint="default"/>
                <w:lang w:bidi="ar"/>
              </w:rPr>
              <w:t>1吨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特种设备（压力灭菌锅等）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≥1</w:t>
            </w:r>
            <w:r>
              <w:rPr>
                <w:rStyle w:val="8"/>
                <w:rFonts w:hint="default"/>
                <w:lang w:bidi="ar"/>
              </w:rPr>
              <w:t>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气体钢瓶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涉及惰性气体（如氮气、氧气、空气、二氧化碳、氩气等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涉及易燃、易爆、有毒气体（如氨气、二氧化硫、氢气、乙炔等）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高温高压设备（如马弗炉、烘箱等）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≥1</w:t>
            </w:r>
            <w:r>
              <w:rPr>
                <w:rStyle w:val="8"/>
                <w:rFonts w:hint="default"/>
                <w:lang w:bidi="ar"/>
              </w:rPr>
              <w:t>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病原微生物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涉及病原微生物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辐射源及射线装置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涉及辐射源及射线装置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同位素及核材料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涉及同位素及核材料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危险性机械加工装置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涉及危险性机械加工装置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强电强磁与激光设备（如激光器、核磁共振波谱仪等）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涉及强电强磁与激光设备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其它危险源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涉及其它危险源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0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填表说明：1.实验室安全分级为红（重大风险）、橙（较大风险）、黄（一般风险）、蓝（低风险）。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2.实验室评分大于≥80分划分为红（重大风险）；≥40分划分为橙（较大风险）；≥20分划分为黄（一般风险）；&lt;20分划分为蓝（低风险）。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371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中国药科大学实验室安全风险评价指标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分类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5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标准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安全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检查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年度隐患累计分值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≥50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50&gt;</w:t>
            </w: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≥30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30&gt;</w:t>
            </w:r>
            <w:r>
              <w:rPr>
                <w:rStyle w:val="10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≥10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隐患累计分值</w:t>
            </w:r>
            <w:r>
              <w:rPr>
                <w:rStyle w:val="9"/>
                <w:rFonts w:eastAsia="宋体"/>
                <w:lang w:bidi="ar"/>
              </w:rPr>
              <w:t>&lt;10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隐患未整改分值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&gt;12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12&gt;</w:t>
            </w: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≥6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6&gt;</w:t>
            </w: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≥1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隐患未整改分值</w:t>
            </w:r>
            <w:r>
              <w:rPr>
                <w:rStyle w:val="9"/>
                <w:rFonts w:eastAsia="宋体"/>
                <w:lang w:bidi="ar"/>
              </w:rPr>
              <w:t>&lt;1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隐患达到12分（需参加继续教育）的次数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≥3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2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1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0</w:t>
            </w:r>
            <w:r>
              <w:rPr>
                <w:rStyle w:val="8"/>
                <w:rFonts w:hint="default"/>
                <w:lang w:bidi="ar"/>
              </w:rPr>
              <w:t>次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危险源</w:t>
            </w: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危险化学品存放量（按照50平方计算）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危险化学品存放量</w:t>
            </w:r>
            <w:r>
              <w:rPr>
                <w:rStyle w:val="9"/>
                <w:rFonts w:eastAsia="宋体"/>
                <w:lang w:bidi="ar"/>
              </w:rPr>
              <w:t>≥100kg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危险化学品存放量</w:t>
            </w:r>
            <w:r>
              <w:rPr>
                <w:rStyle w:val="9"/>
                <w:rFonts w:eastAsia="宋体"/>
                <w:lang w:bidi="ar"/>
              </w:rPr>
              <w:t>≥0kg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8"/>
                <w:rFonts w:hint="default"/>
                <w:lang w:bidi="ar"/>
              </w:rPr>
              <w:t>不涉及危险化学品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危险废物产生量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年产废量</w:t>
            </w:r>
            <w:r>
              <w:rPr>
                <w:rStyle w:val="11"/>
                <w:rFonts w:eastAsia="宋体"/>
                <w:lang w:bidi="ar"/>
              </w:rPr>
              <w:t>≥</w:t>
            </w:r>
            <w:r>
              <w:rPr>
                <w:rStyle w:val="8"/>
                <w:rFonts w:hint="default"/>
                <w:lang w:bidi="ar"/>
              </w:rPr>
              <w:t>1吨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特种设备（压力灭菌锅等）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≥1</w:t>
            </w:r>
            <w:r>
              <w:rPr>
                <w:rStyle w:val="8"/>
                <w:rFonts w:hint="default"/>
                <w:lang w:bidi="ar"/>
              </w:rPr>
              <w:t>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气体钢瓶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涉及惰性气体（如氮气、氧气、空气、二氧化碳、氩气等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涉及易燃、易爆、有毒气体（如氨气、二氧化硫、氢气、乙炔等）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高温高压设备（如马弗炉、烘箱等）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Style w:val="9"/>
                <w:rFonts w:eastAsia="宋体"/>
                <w:lang w:bidi="ar"/>
              </w:rPr>
              <w:t>≥1</w:t>
            </w:r>
            <w:r>
              <w:rPr>
                <w:rStyle w:val="8"/>
                <w:rFonts w:hint="default"/>
                <w:lang w:bidi="ar"/>
              </w:rPr>
              <w:t>台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病原微生物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涉及病原微生物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辐射源及射线装置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涉及辐射源及射线装置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同位素及核材料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涉及同位素及核材料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危险性机械加工装置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涉及危险性机械加工装置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强电强磁与激光设备（如激光器、核磁共振波谱仪等）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涉及强电强磁与激光设备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其它危险源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涉及其它危险源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0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填表说明：1.实验室安全分级为红（重大风险）、橙（较大风险）、黄（一般风险）、蓝（低风险）。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2.实验室评分大于≥80分划分为红（重大风险）；≥40分划分为橙（较大风险）；≥20分划分为黄（一般风险）；&lt;20分划分为蓝（低风险）。</w:t>
            </w:r>
          </w:p>
        </w:tc>
      </w:tr>
    </w:tbl>
    <w:p>
      <w:pPr>
        <w:pStyle w:val="4"/>
        <w:spacing w:before="0" w:beforeAutospacing="0" w:after="0" w:afterAutospacing="0" w:line="504" w:lineRule="atLeast"/>
        <w:rPr>
          <w:rFonts w:hint="eastAsia" w:ascii="仿宋_GB2312" w:hAnsi="宋体" w:eastAsia="仿宋_GB2312" w:cs="仿宋_GB2312"/>
          <w:color w:val="2B2B2B"/>
          <w:sz w:val="21"/>
          <w:szCs w:val="21"/>
          <w:shd w:val="clear" w:color="auto" w:fill="FFFFFF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19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1MjVhYzY3MTRjYmFkZDhiYzc4ZjBlMGM1ZWY3ZDYifQ=="/>
  </w:docVars>
  <w:rsids>
    <w:rsidRoot w:val="4DBF1AF1"/>
    <w:rsid w:val="00150C8A"/>
    <w:rsid w:val="00381040"/>
    <w:rsid w:val="003F1CDD"/>
    <w:rsid w:val="0066762A"/>
    <w:rsid w:val="007E33C7"/>
    <w:rsid w:val="00A67110"/>
    <w:rsid w:val="00B9353B"/>
    <w:rsid w:val="00CF6966"/>
    <w:rsid w:val="00DB0C75"/>
    <w:rsid w:val="0422409D"/>
    <w:rsid w:val="04D72BD5"/>
    <w:rsid w:val="04E978D1"/>
    <w:rsid w:val="078608E3"/>
    <w:rsid w:val="087D57CE"/>
    <w:rsid w:val="0A67152C"/>
    <w:rsid w:val="0C487280"/>
    <w:rsid w:val="0C560E46"/>
    <w:rsid w:val="0CF03C1D"/>
    <w:rsid w:val="0D8F7523"/>
    <w:rsid w:val="0F024CF3"/>
    <w:rsid w:val="1211524D"/>
    <w:rsid w:val="13531FC1"/>
    <w:rsid w:val="15FA301F"/>
    <w:rsid w:val="173E62FF"/>
    <w:rsid w:val="18C272A1"/>
    <w:rsid w:val="19614D0C"/>
    <w:rsid w:val="1C8431EB"/>
    <w:rsid w:val="1CCF4F65"/>
    <w:rsid w:val="1D6932BB"/>
    <w:rsid w:val="1E1D37B8"/>
    <w:rsid w:val="1EC65D3D"/>
    <w:rsid w:val="21ED538F"/>
    <w:rsid w:val="23867849"/>
    <w:rsid w:val="24327C31"/>
    <w:rsid w:val="25445B21"/>
    <w:rsid w:val="266439F8"/>
    <w:rsid w:val="27282EE2"/>
    <w:rsid w:val="27876D28"/>
    <w:rsid w:val="2D364384"/>
    <w:rsid w:val="306F6FEE"/>
    <w:rsid w:val="34011CD0"/>
    <w:rsid w:val="34E46AC5"/>
    <w:rsid w:val="35121C80"/>
    <w:rsid w:val="35F81DA7"/>
    <w:rsid w:val="37E67A68"/>
    <w:rsid w:val="39540160"/>
    <w:rsid w:val="3A13144C"/>
    <w:rsid w:val="3ADE0ED3"/>
    <w:rsid w:val="3B5B5378"/>
    <w:rsid w:val="3D3F7749"/>
    <w:rsid w:val="3DEB2EBF"/>
    <w:rsid w:val="405961D5"/>
    <w:rsid w:val="43456981"/>
    <w:rsid w:val="43D916EF"/>
    <w:rsid w:val="45A80A6F"/>
    <w:rsid w:val="4B137364"/>
    <w:rsid w:val="4DBF1AF1"/>
    <w:rsid w:val="4DC04C0E"/>
    <w:rsid w:val="4E316884"/>
    <w:rsid w:val="4ED70257"/>
    <w:rsid w:val="5031142E"/>
    <w:rsid w:val="5040492D"/>
    <w:rsid w:val="51AB6F33"/>
    <w:rsid w:val="56474EAD"/>
    <w:rsid w:val="56CB143B"/>
    <w:rsid w:val="579362BD"/>
    <w:rsid w:val="58061A6F"/>
    <w:rsid w:val="5924610B"/>
    <w:rsid w:val="59F5282A"/>
    <w:rsid w:val="5A584D94"/>
    <w:rsid w:val="5B8228C3"/>
    <w:rsid w:val="5BD114F8"/>
    <w:rsid w:val="5DEA03F9"/>
    <w:rsid w:val="5F2C4433"/>
    <w:rsid w:val="61024F99"/>
    <w:rsid w:val="61424EA8"/>
    <w:rsid w:val="61750529"/>
    <w:rsid w:val="644B3A84"/>
    <w:rsid w:val="64AE1E08"/>
    <w:rsid w:val="64FB738F"/>
    <w:rsid w:val="65261C89"/>
    <w:rsid w:val="65493C57"/>
    <w:rsid w:val="663271DB"/>
    <w:rsid w:val="6F4436E1"/>
    <w:rsid w:val="705D31D7"/>
    <w:rsid w:val="73D04D6D"/>
    <w:rsid w:val="748850B7"/>
    <w:rsid w:val="758B21BC"/>
    <w:rsid w:val="76B57B73"/>
    <w:rsid w:val="76D46E71"/>
    <w:rsid w:val="79081D9A"/>
    <w:rsid w:val="7B852963"/>
    <w:rsid w:val="7D194306"/>
    <w:rsid w:val="7F31634A"/>
    <w:rsid w:val="7F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20" w:after="120"/>
      <w:jc w:val="center"/>
      <w:outlineLvl w:val="0"/>
    </w:pPr>
    <w:rPr>
      <w:rFonts w:eastAsia="黑体"/>
      <w:bCs/>
      <w:kern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2406</Words>
  <Characters>2481</Characters>
  <Lines>19</Lines>
  <Paragraphs>5</Paragraphs>
  <TotalTime>0</TotalTime>
  <ScaleCrop>false</ScaleCrop>
  <LinksUpToDate>false</LinksUpToDate>
  <CharactersWithSpaces>2551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2022-05-02T07:31:00Z</dcterms:created>
  <dc:creator>如飞</dc:creator>
  <cp:lastModifiedBy>信仰</cp:lastModifiedBy>
  <dcterms:modified xsi:type="dcterms:W3CDTF">2023-03-08T02:07:22Z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E9FCFD3DB6484A9589A9DBC8808B78F1</vt:lpwstr>
  </property>
</Properties>
</file>