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762"/>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762"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441"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762" w:type="dxa"/>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762" w:type="dxa"/>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762" w:type="dxa"/>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（17）有文件证明学校设立了</w:t>
            </w:r>
            <w:r>
              <w:rPr>
                <w:rFonts w:eastAsia="仿宋"/>
                <w:kern w:val="0"/>
                <w:szCs w:val="21"/>
              </w:rPr>
              <w:t>检查队伍，并有</w:t>
            </w:r>
            <w:r>
              <w:rPr>
                <w:rFonts w:eastAsia="仿宋"/>
                <w:bCs/>
                <w:kern w:val="0"/>
                <w:szCs w:val="21"/>
              </w:rPr>
              <w:t>工作记录</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（19）学校建设信息管理等系统用于实验室安全管理</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（20）包括责任体系、队伍建设、安全制度、奖惩、教育培训、安全检查、隐患整改、事故调查与处理、专业安全、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相关的常规或阶段性工作等</w:t>
            </w:r>
            <w:r>
              <w:rPr>
                <w:rFonts w:hint="eastAsia" w:eastAsia="仿宋"/>
                <w:kern w:val="0"/>
                <w:szCs w:val="21"/>
              </w:rPr>
              <w:t>，且</w:t>
            </w:r>
            <w:r>
              <w:rPr>
                <w:rFonts w:eastAsia="仿宋"/>
                <w:kern w:val="0"/>
                <w:szCs w:val="21"/>
              </w:rPr>
              <w:t>档案分类</w:t>
            </w:r>
            <w:r>
              <w:rPr>
                <w:rFonts w:hint="eastAsia" w:eastAsia="仿宋"/>
                <w:kern w:val="0"/>
                <w:szCs w:val="21"/>
              </w:rPr>
              <w:t>科学</w:t>
            </w:r>
            <w:r>
              <w:rPr>
                <w:rFonts w:eastAsia="仿宋"/>
                <w:kern w:val="0"/>
                <w:szCs w:val="21"/>
              </w:rPr>
              <w:t>合理，便于查找</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762" w:type="dxa"/>
            <w:tcMar>
              <w:left w:w="45" w:type="dxa"/>
              <w:right w:w="45" w:type="dxa"/>
            </w:tcMar>
            <w:vAlign w:val="center"/>
          </w:tcPr>
          <w:p>
            <w:pPr>
              <w:spacing w:line="300" w:lineRule="exact"/>
              <w:rPr>
                <w:rFonts w:eastAsia="仿宋"/>
                <w:bCs/>
                <w:kern w:val="0"/>
                <w:szCs w:val="21"/>
              </w:rPr>
            </w:pPr>
            <w:r>
              <w:rPr>
                <w:rFonts w:eastAsia="仿宋"/>
                <w:bCs/>
                <w:kern w:val="0"/>
                <w:szCs w:val="21"/>
              </w:rPr>
              <w:t>（21）有</w:t>
            </w:r>
            <w:r>
              <w:rPr>
                <w:rFonts w:hint="eastAsia" w:eastAsia="仿宋"/>
                <w:bCs/>
                <w:kern w:val="0"/>
                <w:szCs w:val="21"/>
              </w:rPr>
              <w:t>正式发文</w:t>
            </w:r>
            <w:r>
              <w:rPr>
                <w:rFonts w:eastAsia="仿宋"/>
                <w:bCs/>
                <w:kern w:val="0"/>
                <w:szCs w:val="21"/>
              </w:rPr>
              <w:t>的实验室安全管理</w:t>
            </w:r>
            <w:r>
              <w:rPr>
                <w:rFonts w:hint="eastAsia" w:eastAsia="仿宋"/>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762" w:type="dxa"/>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学校、院系、实验室有相应的应急预案</w:t>
            </w:r>
          </w:p>
        </w:tc>
        <w:tc>
          <w:tcPr>
            <w:tcW w:w="7762" w:type="dxa"/>
            <w:tcMar>
              <w:left w:w="45" w:type="dxa"/>
              <w:right w:w="45" w:type="dxa"/>
            </w:tcMar>
            <w:vAlign w:val="center"/>
          </w:tcPr>
          <w:p>
            <w:pPr>
              <w:spacing w:line="300" w:lineRule="exact"/>
              <w:rPr>
                <w:rFonts w:eastAsia="仿宋"/>
                <w:bCs/>
                <w:kern w:val="0"/>
                <w:szCs w:val="21"/>
              </w:rPr>
            </w:pPr>
            <w:r>
              <w:rPr>
                <w:rFonts w:eastAsia="仿宋"/>
                <w:bCs/>
                <w:kern w:val="0"/>
                <w:szCs w:val="21"/>
              </w:rPr>
              <w:t>（23）</w:t>
            </w:r>
            <w:r>
              <w:rPr>
                <w:rFonts w:hint="eastAsia" w:eastAsia="仿宋"/>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441"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（25）校级层面有档案证明开展了实验室安全教育培训</w:t>
            </w:r>
            <w:r>
              <w:rPr>
                <w:rFonts w:hint="eastAsia" w:eastAsia="仿宋"/>
                <w:bCs/>
                <w:kern w:val="0"/>
                <w:szCs w:val="21"/>
              </w:rPr>
              <w:t>。</w:t>
            </w:r>
          </w:p>
          <w:p>
            <w:pPr>
              <w:widowControl/>
              <w:spacing w:line="300" w:lineRule="exact"/>
              <w:rPr>
                <w:rFonts w:eastAsia="仿宋"/>
                <w:bCs/>
                <w:kern w:val="0"/>
                <w:szCs w:val="21"/>
              </w:rPr>
            </w:pPr>
            <w:r>
              <w:rPr>
                <w:rFonts w:eastAsia="仿宋"/>
                <w:bCs/>
                <w:kern w:val="0"/>
                <w:szCs w:val="21"/>
              </w:rPr>
              <w:t>（26）院系层面有档案证明开展了实验室安全教育培训，</w:t>
            </w:r>
            <w:r>
              <w:rPr>
                <w:rFonts w:eastAsia="仿宋"/>
                <w:kern w:val="0"/>
                <w:szCs w:val="21"/>
              </w:rPr>
              <w:t>重点关注外来人员和研究生新生</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762" w:type="dxa"/>
            <w:tcMar>
              <w:left w:w="45" w:type="dxa"/>
              <w:right w:w="45" w:type="dxa"/>
            </w:tcMar>
            <w:vAlign w:val="center"/>
          </w:tcPr>
          <w:p>
            <w:pPr>
              <w:widowControl/>
              <w:spacing w:line="300" w:lineRule="exact"/>
              <w:rPr>
                <w:rFonts w:eastAsia="仿宋"/>
                <w:kern w:val="0"/>
                <w:szCs w:val="21"/>
              </w:rPr>
            </w:pPr>
            <w:r>
              <w:rPr>
                <w:rFonts w:eastAsia="仿宋"/>
                <w:bCs/>
                <w:kern w:val="0"/>
                <w:szCs w:val="21"/>
              </w:rPr>
              <w:t>（27）有实验室安全事故应急演练</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（28）建设有考试</w:t>
            </w:r>
            <w:r>
              <w:rPr>
                <w:rFonts w:hint="eastAsia" w:eastAsia="仿宋"/>
                <w:kern w:val="0"/>
                <w:szCs w:val="21"/>
              </w:rPr>
              <w:t>系统</w:t>
            </w:r>
            <w:r>
              <w:rPr>
                <w:rFonts w:eastAsia="仿宋"/>
                <w:kern w:val="0"/>
                <w:szCs w:val="21"/>
              </w:rPr>
              <w:t>或考试题库并及时更新，从事实验工作的学生、教职工及外来人员均</w:t>
            </w:r>
            <w:r>
              <w:rPr>
                <w:rFonts w:hint="eastAsia" w:eastAsia="仿宋"/>
                <w:kern w:val="0"/>
                <w:szCs w:val="21"/>
              </w:rPr>
              <w:t>须</w:t>
            </w:r>
            <w:r>
              <w:rPr>
                <w:rFonts w:eastAsia="仿宋"/>
                <w:kern w:val="0"/>
                <w:szCs w:val="21"/>
              </w:rPr>
              <w:t>参加考试，通过者发放合格证书或保留记录</w:t>
            </w:r>
            <w:r>
              <w:rPr>
                <w:rFonts w:hint="eastAsia" w:eastAsia="仿宋"/>
                <w:kern w:val="0"/>
                <w:szCs w:val="21"/>
              </w:rPr>
              <w:t>。</w:t>
            </w:r>
          </w:p>
        </w:tc>
        <w:tc>
          <w:tcPr>
            <w:tcW w:w="2441"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（29）学校有网页设立专栏开展安全宣传</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441"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582"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582"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582"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762" w:type="dxa"/>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762" w:type="dxa"/>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szCs w:val="21"/>
              </w:rPr>
              <w:t>（47）每个房间门口挂有安全信息牌，信息包括：安全风险点的警示标识、安全责任人、涉及危险类别、防护措施和有效的应急联系电话等，并及时更新</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762" w:type="dxa"/>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bCs/>
                <w:szCs w:val="21"/>
              </w:rPr>
              <w:t>（52）保持消防通道通畅</w:t>
            </w:r>
            <w:r>
              <w:rPr>
                <w:rFonts w:hint="eastAsia" w:eastAsia="仿宋"/>
                <w:bCs/>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762" w:type="dxa"/>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w:t>
            </w:r>
            <w:r>
              <w:rPr>
                <w:rFonts w:eastAsia="仿宋"/>
                <w:szCs w:val="21"/>
                <w:shd w:val="clear" w:fill="FFFF00"/>
              </w:rPr>
              <w:t>有可燃气体的实验室不设吊顶</w:t>
            </w:r>
            <w:r>
              <w:rPr>
                <w:rFonts w:hint="eastAsia" w:eastAsia="仿宋"/>
                <w:szCs w:val="21"/>
                <w:shd w:val="clear" w:fill="FFFF00"/>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rPr>
              <w:t>（57）实验室门上有观察窗，外开门不阻挡逃生路径</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762" w:type="dxa"/>
            <w:tcMar>
              <w:left w:w="45" w:type="dxa"/>
              <w:right w:w="45" w:type="dxa"/>
            </w:tcMar>
            <w:vAlign w:val="center"/>
          </w:tcPr>
          <w:p>
            <w:pPr>
              <w:widowControl/>
              <w:spacing w:line="300" w:lineRule="exact"/>
              <w:rPr>
                <w:rFonts w:eastAsia="仿宋"/>
                <w:bCs/>
                <w:szCs w:val="21"/>
              </w:rPr>
            </w:pPr>
            <w:r>
              <w:rPr>
                <w:rFonts w:eastAsia="仿宋"/>
                <w:szCs w:val="21"/>
              </w:rPr>
              <w:t>（58）应急备用钥匙</w:t>
            </w:r>
            <w:r>
              <w:rPr>
                <w:rFonts w:hint="eastAsia" w:eastAsia="仿宋"/>
                <w:szCs w:val="21"/>
              </w:rPr>
              <w:t>须</w:t>
            </w:r>
            <w:r>
              <w:rPr>
                <w:rFonts w:eastAsia="仿宋"/>
                <w:szCs w:val="21"/>
              </w:rPr>
              <w:t>集中存放、统一管理，应急时方便取用</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762" w:type="dxa"/>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762" w:type="dxa"/>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762" w:type="dxa"/>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762" w:type="dxa"/>
            <w:tcMar>
              <w:left w:w="45" w:type="dxa"/>
              <w:right w:w="45" w:type="dxa"/>
            </w:tcMar>
            <w:vAlign w:val="center"/>
          </w:tcPr>
          <w:p>
            <w:pPr>
              <w:spacing w:line="300" w:lineRule="exact"/>
              <w:rPr>
                <w:rFonts w:eastAsia="仿宋"/>
                <w:szCs w:val="21"/>
              </w:rPr>
            </w:pPr>
            <w:r>
              <w:rPr>
                <w:rFonts w:eastAsia="仿宋"/>
                <w:szCs w:val="21"/>
              </w:rPr>
              <w:t>（66）实验室物品摆放有序，卫生状况良好，实验完毕物品归位，无废弃物品、不放无关物品</w:t>
            </w:r>
            <w:r>
              <w:rPr>
                <w:rFonts w:hint="eastAsia" w:eastAsia="仿宋"/>
                <w:szCs w:val="21"/>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762" w:type="dxa"/>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762" w:type="dxa"/>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762" w:type="dxa"/>
            <w:tcMar>
              <w:left w:w="45" w:type="dxa"/>
              <w:right w:w="45" w:type="dxa"/>
            </w:tcMar>
            <w:vAlign w:val="center"/>
          </w:tcPr>
          <w:p>
            <w:pPr>
              <w:spacing w:line="300" w:lineRule="exact"/>
              <w:rPr>
                <w:rFonts w:eastAsia="仿宋"/>
                <w:bCs/>
                <w:szCs w:val="21"/>
              </w:rPr>
            </w:pPr>
            <w:r>
              <w:rPr>
                <w:rFonts w:eastAsia="仿宋"/>
                <w:szCs w:val="21"/>
              </w:rPr>
              <w:t>（70）配备的药箱</w:t>
            </w:r>
            <w:r>
              <w:rPr>
                <w:rFonts w:hint="eastAsia" w:eastAsia="仿宋"/>
                <w:szCs w:val="21"/>
              </w:rPr>
              <w:t>不得</w:t>
            </w:r>
            <w:r>
              <w:rPr>
                <w:rFonts w:eastAsia="仿宋"/>
                <w:szCs w:val="21"/>
              </w:rPr>
              <w:t>上锁，并定期检查药品是否在保质期内</w:t>
            </w:r>
            <w:r>
              <w:rPr>
                <w:rFonts w:hint="eastAsia" w:eastAsia="仿宋"/>
                <w:szCs w:val="21"/>
              </w:rPr>
              <w:t>。</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762" w:type="dxa"/>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441"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762" w:type="dxa"/>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441"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441"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762"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762" w:type="dxa"/>
            <w:tcMar>
              <w:left w:w="45" w:type="dxa"/>
              <w:right w:w="45" w:type="dxa"/>
            </w:tcMar>
            <w:vAlign w:val="center"/>
          </w:tcPr>
          <w:p>
            <w:pPr>
              <w:widowControl/>
              <w:spacing w:line="300" w:lineRule="exact"/>
              <w:rPr>
                <w:rFonts w:eastAsia="仿宋"/>
                <w:szCs w:val="21"/>
              </w:rPr>
            </w:pPr>
            <w:r>
              <w:rPr>
                <w:rFonts w:eastAsia="仿宋"/>
                <w:szCs w:val="21"/>
              </w:rPr>
              <w:t>（89）监控不留死角，图像清晰，人员出入记录可查，视频记录存储时间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762" w:type="dxa"/>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441"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762" w:type="dxa"/>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762"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各楼层及实验室的各级水管总阀</w:t>
            </w:r>
            <w:r>
              <w:rPr>
                <w:rFonts w:hint="eastAsia" w:eastAsia="仿宋"/>
                <w:kern w:val="0"/>
                <w:szCs w:val="21"/>
              </w:rPr>
              <w:t>须</w:t>
            </w:r>
            <w:r>
              <w:rPr>
                <w:rFonts w:eastAsia="仿宋"/>
                <w:kern w:val="0"/>
                <w:szCs w:val="21"/>
              </w:rPr>
              <w:t>有明显的标识</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441"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762"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441"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762"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762"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441"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762" w:type="dxa"/>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762"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762"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w:t>
            </w:r>
            <w:bookmarkStart w:id="3" w:name="_GoBack"/>
            <w:bookmarkEnd w:id="3"/>
            <w:r>
              <w:rPr>
                <w:rFonts w:eastAsia="仿宋"/>
                <w:kern w:val="0"/>
              </w:rPr>
              <w:t>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441"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441"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441"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762" w:type="dxa"/>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441"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762"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762"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762"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762"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762"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762"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762"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441"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441"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762" w:type="dxa"/>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441"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762"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441"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762"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762"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441"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441"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441"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441"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441"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762"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762"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762"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762"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762"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762"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441"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762"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762"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762"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762"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762"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762"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762"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441"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441"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762"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441"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762"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441"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1MjVhYzY3MTRjYmFkZDhiYzc4ZjBlMGM1ZWY3ZDY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68D4D4A"/>
    <w:rsid w:val="17F301A9"/>
    <w:rsid w:val="199A0A0E"/>
    <w:rsid w:val="19EF1374"/>
    <w:rsid w:val="1A95003E"/>
    <w:rsid w:val="1B813CE0"/>
    <w:rsid w:val="1B9D4516"/>
    <w:rsid w:val="1CC17138"/>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AA0D3A"/>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6367CB5"/>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17</TotalTime>
  <ScaleCrop>false</ScaleCrop>
  <LinksUpToDate>false</LinksUpToDate>
  <CharactersWithSpaces>18383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信仰</cp:lastModifiedBy>
  <cp:lastPrinted>2023-03-09T06:50:00Z</cp:lastPrinted>
  <dcterms:modified xsi:type="dcterms:W3CDTF">2023-09-25T06:31:02Z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48183AA5BB5348A791E89F7C384C39E2_13</vt:lpwstr>
  </property>
</Properties>
</file>