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center"/>
        <w:outlineLvl w:val="1"/>
        <w:rPr>
          <w:rFonts w:ascii="方正小标宋_GBK" w:hAnsi="黑体" w:eastAsia="方正小标宋_GBK"/>
          <w:sz w:val="44"/>
          <w:szCs w:val="44"/>
        </w:rPr>
      </w:pPr>
      <w:bookmarkStart w:id="0" w:name="_Toc8037109"/>
      <w:r>
        <w:rPr>
          <w:rFonts w:hint="eastAsia" w:ascii="方正小标宋_GBK" w:hAnsi="黑体" w:eastAsia="方正小标宋_GBK"/>
          <w:sz w:val="44"/>
          <w:szCs w:val="44"/>
        </w:rPr>
        <w:t>中国药科大学实验室安全与环境保护</w:t>
      </w:r>
    </w:p>
    <w:p>
      <w:pPr>
        <w:spacing w:line="600" w:lineRule="exact"/>
        <w:ind w:firstLine="0" w:firstLineChars="0"/>
        <w:jc w:val="center"/>
        <w:outlineLvl w:val="1"/>
        <w:rPr>
          <w:rFonts w:ascii="方正小标宋_GBK" w:hAnsi="黑体" w:eastAsia="方正小标宋_GBK"/>
          <w:sz w:val="44"/>
          <w:szCs w:val="44"/>
        </w:rPr>
      </w:pPr>
      <w:r>
        <w:rPr>
          <w:rFonts w:hint="eastAsia" w:ascii="方正小标宋_GBK" w:hAnsi="黑体" w:eastAsia="方正小标宋_GBK"/>
          <w:sz w:val="44"/>
          <w:szCs w:val="44"/>
        </w:rPr>
        <w:t>工作管理办法</w:t>
      </w:r>
      <w:bookmarkEnd w:id="0"/>
    </w:p>
    <w:p>
      <w:pPr>
        <w:ind w:firstLine="600"/>
        <w:jc w:val="center"/>
        <w:rPr>
          <w:rFonts w:ascii="黑体" w:hAnsi="黑体" w:eastAsia="黑体"/>
          <w:sz w:val="30"/>
          <w:szCs w:val="30"/>
        </w:rPr>
      </w:pPr>
    </w:p>
    <w:p>
      <w:pPr>
        <w:pStyle w:val="2"/>
        <w:spacing w:line="560" w:lineRule="exact"/>
        <w:rPr>
          <w:rFonts w:ascii="方正黑体_GBK" w:eastAsia="方正黑体_GBK"/>
        </w:rPr>
      </w:pPr>
      <w:r>
        <w:rPr>
          <w:rFonts w:hint="eastAsia" w:ascii="方正黑体_GBK" w:eastAsia="方正黑体_GBK"/>
        </w:rPr>
        <w:t>第一章 总则</w:t>
      </w:r>
    </w:p>
    <w:p>
      <w:pPr>
        <w:spacing w:line="560" w:lineRule="exact"/>
        <w:ind w:firstLine="643"/>
      </w:pPr>
      <w:r>
        <w:rPr>
          <w:rFonts w:hint="eastAsia"/>
          <w:b/>
        </w:rPr>
        <w:t>第一条</w:t>
      </w:r>
      <w:r>
        <w:rPr>
          <w:rFonts w:hint="eastAsia"/>
        </w:rPr>
        <w:t xml:space="preserve"> </w:t>
      </w:r>
      <w:r>
        <w:t xml:space="preserve"> </w:t>
      </w:r>
      <w:r>
        <w:rPr>
          <w:rFonts w:hint="eastAsia"/>
        </w:rPr>
        <w:t>为进一步加强学校实验室安全与环境保护管理工作，根据《中华人民共和国安全生产法》、《高等学校实验室工作规程》和《教育部关于加强高校实验室安全工作的意见》等法律法规及相关文件精神，结合学校实际，特制定《中国药科大学实验室安全与环境保护工作管理办法》（以下简称本办法）。</w:t>
      </w:r>
    </w:p>
    <w:p>
      <w:pPr>
        <w:spacing w:line="560" w:lineRule="exact"/>
        <w:ind w:firstLine="643"/>
      </w:pPr>
      <w:r>
        <w:rPr>
          <w:rFonts w:hint="eastAsia"/>
          <w:b/>
        </w:rPr>
        <w:t xml:space="preserve">第二条 </w:t>
      </w:r>
      <w:r>
        <w:rPr>
          <w:b/>
        </w:rPr>
        <w:t xml:space="preserve"> </w:t>
      </w:r>
      <w:r>
        <w:rPr>
          <w:rFonts w:hint="eastAsia"/>
        </w:rPr>
        <w:t>本办法中的实验室指学校有关的各级各类教学、实训、科研等实验场所。学校实验室安全与环境保护工作的主要任务是建立健全实验室安全责任体系与运行机制，实施实验室安全宣传培训与准入制度，加强实验室危险源管理与安全设施建设，完善实验室安全个人防护与环境保护，组织实验室安全检查与隐患整改，制定实验室安全应急预案，开展实验室安全事故应急演练，妥善处置安全事故，按要求上报实验室安全工作年度报告等。</w:t>
      </w:r>
    </w:p>
    <w:p>
      <w:pPr>
        <w:spacing w:line="560" w:lineRule="exact"/>
        <w:ind w:firstLine="643"/>
      </w:pPr>
      <w:r>
        <w:rPr>
          <w:rFonts w:hint="eastAsia"/>
          <w:b/>
        </w:rPr>
        <w:t>第三条</w:t>
      </w:r>
      <w:r>
        <w:rPr>
          <w:rFonts w:hint="eastAsia"/>
        </w:rPr>
        <w:t xml:space="preserve"> </w:t>
      </w:r>
      <w:r>
        <w:t xml:space="preserve"> </w:t>
      </w:r>
      <w:r>
        <w:rPr>
          <w:rFonts w:hint="eastAsia"/>
        </w:rPr>
        <w:t>学校实验室安全与环境保护工作严格按照“党政同责、一岗双责、齐抓共管、失职追责”和“管行业必须管安全、管业务必须管安全”的要求，根据“谁使用、谁负责，谁主管、谁负责”的原则，把责任落实到岗位、落实到人头；坚持“以人为本、安全第一、预防为主、综合治理”的方针，全面落实实验室安全责任制，建立健全实验室安全长效机制。</w:t>
      </w:r>
    </w:p>
    <w:p>
      <w:pPr>
        <w:spacing w:line="560" w:lineRule="exact"/>
        <w:ind w:firstLine="600"/>
        <w:rPr>
          <w:rFonts w:ascii="华文仿宋" w:hAnsi="华文仿宋" w:eastAsia="华文仿宋"/>
          <w:sz w:val="30"/>
          <w:szCs w:val="30"/>
        </w:rPr>
      </w:pPr>
    </w:p>
    <w:p>
      <w:pPr>
        <w:pStyle w:val="2"/>
        <w:spacing w:line="560" w:lineRule="exact"/>
        <w:rPr>
          <w:rFonts w:ascii="方正黑体_GBK" w:eastAsia="方正黑体_GBK"/>
        </w:rPr>
      </w:pPr>
      <w:r>
        <w:rPr>
          <w:rFonts w:hint="eastAsia" w:ascii="方正黑体_GBK" w:eastAsia="方正黑体_GBK"/>
        </w:rPr>
        <w:t>第二章 管理责任体系与工作职责</w:t>
      </w:r>
    </w:p>
    <w:p>
      <w:pPr>
        <w:spacing w:line="560" w:lineRule="exact"/>
        <w:ind w:firstLine="643"/>
      </w:pPr>
      <w:r>
        <w:rPr>
          <w:rFonts w:hint="eastAsia"/>
          <w:b/>
        </w:rPr>
        <w:t>第四条</w:t>
      </w:r>
      <w:r>
        <w:rPr>
          <w:rFonts w:hint="eastAsia"/>
        </w:rPr>
        <w:t xml:space="preserve"> </w:t>
      </w:r>
      <w:r>
        <w:t xml:space="preserve"> </w:t>
      </w:r>
      <w:r>
        <w:rPr>
          <w:rFonts w:hint="eastAsia"/>
        </w:rPr>
        <w:t>构建学校、二级单位、实验室三级联动的实验室安全与环境保护管理责任体系：</w:t>
      </w:r>
    </w:p>
    <w:p>
      <w:pPr>
        <w:spacing w:line="560" w:lineRule="exact"/>
        <w:ind w:firstLine="640"/>
      </w:pPr>
      <w:r>
        <w:rPr>
          <w:rFonts w:hint="eastAsia"/>
        </w:rPr>
        <w:t>一级：学校；</w:t>
      </w:r>
    </w:p>
    <w:p>
      <w:pPr>
        <w:spacing w:line="560" w:lineRule="exact"/>
        <w:ind w:firstLine="640"/>
      </w:pPr>
      <w:r>
        <w:rPr>
          <w:rFonts w:hint="eastAsia"/>
        </w:rPr>
        <w:t>二级：学院、研究院、公共实验平台等二级单位（以下统称二级单位）；</w:t>
      </w:r>
    </w:p>
    <w:p>
      <w:pPr>
        <w:spacing w:line="560" w:lineRule="exact"/>
        <w:ind w:firstLine="640"/>
      </w:pPr>
      <w:r>
        <w:rPr>
          <w:rFonts w:hint="eastAsia"/>
        </w:rPr>
        <w:t>三级：实验室。</w:t>
      </w:r>
    </w:p>
    <w:p>
      <w:pPr>
        <w:spacing w:line="560" w:lineRule="exact"/>
        <w:ind w:firstLine="643"/>
      </w:pPr>
      <w:r>
        <w:rPr>
          <w:rFonts w:hint="eastAsia"/>
          <w:b/>
        </w:rPr>
        <w:t xml:space="preserve">第五条 </w:t>
      </w:r>
      <w:r>
        <w:rPr>
          <w:rFonts w:hint="eastAsia"/>
        </w:rPr>
        <w:t xml:space="preserve"> 学校党政主要负责人是实验室安全与环境保护第一责任人；分管安全和实验室工作的校领导是重要领导责任人，协助第一责任人具体负责实验室安全与环境保护工作；其他校领导在分管工作范围内对实验室安全与环境保护工作负有支持、监督和指导职责。</w:t>
      </w:r>
    </w:p>
    <w:p>
      <w:pPr>
        <w:spacing w:line="560" w:lineRule="exact"/>
        <w:ind w:firstLine="640"/>
      </w:pPr>
      <w:r>
        <w:rPr>
          <w:rFonts w:hint="eastAsia"/>
        </w:rPr>
        <w:t>学校成立实验室安全与环境保护领导小组，组长由校长担任，副组长由分管实验室工作和分管安全工作的校领导担任，小组成员由实验室与设备管理处、保卫处、教务处、科学技术处、研究生院、基建后勤处、后勤服务集团总公司和相关二级单位部门主要负责人组成，领导小组办公室设在实验室与设备管理处。领导小组的主要工作职责是：统筹、协调全校实验室安全与环境保护管理工作。</w:t>
      </w:r>
    </w:p>
    <w:p>
      <w:pPr>
        <w:spacing w:line="560" w:lineRule="exact"/>
        <w:ind w:firstLine="643"/>
      </w:pPr>
      <w:r>
        <w:rPr>
          <w:rFonts w:hint="eastAsia"/>
          <w:b/>
        </w:rPr>
        <w:t xml:space="preserve">第六条 </w:t>
      </w:r>
      <w:r>
        <w:rPr>
          <w:rFonts w:hint="eastAsia"/>
        </w:rPr>
        <w:t xml:space="preserve"> 实验室与设备管理处的主要工作职责包括：</w:t>
      </w:r>
    </w:p>
    <w:p>
      <w:pPr>
        <w:spacing w:line="560" w:lineRule="exact"/>
        <w:ind w:firstLine="640"/>
      </w:pPr>
      <w:r>
        <w:rPr>
          <w:rFonts w:hint="eastAsia"/>
        </w:rPr>
        <w:t>（一）贯彻、落实上级部门相关政策法规和工作要求；</w:t>
      </w:r>
    </w:p>
    <w:p>
      <w:pPr>
        <w:spacing w:line="560" w:lineRule="exact"/>
        <w:ind w:firstLine="640"/>
      </w:pPr>
      <w:r>
        <w:rPr>
          <w:rFonts w:hint="eastAsia"/>
        </w:rPr>
        <w:t>（二）制定、完善学校实验室安全与环境保护责任体系和规章制度；</w:t>
      </w:r>
    </w:p>
    <w:p>
      <w:pPr>
        <w:spacing w:line="560" w:lineRule="exact"/>
        <w:ind w:firstLine="640"/>
      </w:pPr>
      <w:r>
        <w:rPr>
          <w:rFonts w:hint="eastAsia"/>
        </w:rPr>
        <w:t>（三）负责实验室安全与环境保护信息化建设和管理；</w:t>
      </w:r>
    </w:p>
    <w:p>
      <w:pPr>
        <w:spacing w:line="560" w:lineRule="exact"/>
        <w:ind w:firstLine="640"/>
      </w:pPr>
      <w:r>
        <w:rPr>
          <w:rFonts w:hint="eastAsia"/>
        </w:rPr>
        <w:t>（四）组织实验室安全与环境保护教育、培训和考试；</w:t>
      </w:r>
    </w:p>
    <w:p>
      <w:pPr>
        <w:spacing w:line="560" w:lineRule="exact"/>
        <w:ind w:firstLine="640"/>
      </w:pPr>
      <w:r>
        <w:rPr>
          <w:rFonts w:hint="eastAsia"/>
        </w:rPr>
        <w:t>（五）建立实验室安全督查队伍，组织开展实验室安全检查，隐患通报并督促整改；</w:t>
      </w:r>
    </w:p>
    <w:p>
      <w:pPr>
        <w:spacing w:line="560" w:lineRule="exact"/>
        <w:ind w:firstLine="640"/>
      </w:pPr>
      <w:r>
        <w:rPr>
          <w:rFonts w:hint="eastAsia"/>
        </w:rPr>
        <w:t>（六）负责实验室技术安全监管和服务；</w:t>
      </w:r>
    </w:p>
    <w:p>
      <w:pPr>
        <w:spacing w:line="560" w:lineRule="exact"/>
        <w:ind w:firstLine="640"/>
      </w:pPr>
      <w:r>
        <w:rPr>
          <w:rFonts w:hint="eastAsia"/>
        </w:rPr>
        <w:t>（七）会同相关部门进行实验室安全事故的调查和处理；</w:t>
      </w:r>
    </w:p>
    <w:p>
      <w:pPr>
        <w:spacing w:line="560" w:lineRule="exact"/>
        <w:ind w:firstLine="640"/>
      </w:pPr>
      <w:r>
        <w:rPr>
          <w:rFonts w:hint="eastAsia"/>
        </w:rPr>
        <w:t>（八）负责实验室危险废物的监督管理；</w:t>
      </w:r>
    </w:p>
    <w:p>
      <w:pPr>
        <w:spacing w:line="560" w:lineRule="exact"/>
        <w:ind w:firstLine="640"/>
      </w:pPr>
      <w:r>
        <w:rPr>
          <w:rFonts w:hint="eastAsia"/>
        </w:rPr>
        <w:t>（九）负责实验室废气、废水处理设施的环保运维和改造。</w:t>
      </w:r>
    </w:p>
    <w:p>
      <w:pPr>
        <w:spacing w:line="560" w:lineRule="exact"/>
        <w:ind w:firstLine="602"/>
      </w:pPr>
      <w:r>
        <w:rPr>
          <w:rFonts w:hint="eastAsia"/>
          <w:b/>
          <w:sz w:val="30"/>
          <w:szCs w:val="30"/>
        </w:rPr>
        <w:t>第七条</w:t>
      </w:r>
      <w:r>
        <w:t xml:space="preserve">  </w:t>
      </w:r>
      <w:r>
        <w:rPr>
          <w:rFonts w:hint="eastAsia"/>
        </w:rPr>
        <w:t>保卫处的主要工作职责包括：</w:t>
      </w:r>
    </w:p>
    <w:p>
      <w:pPr>
        <w:spacing w:line="560" w:lineRule="exact"/>
        <w:ind w:firstLine="640"/>
      </w:pPr>
      <w:r>
        <w:rPr>
          <w:rFonts w:hint="eastAsia"/>
        </w:rPr>
        <w:t>（一）负责消防和治安管理；</w:t>
      </w:r>
    </w:p>
    <w:p>
      <w:pPr>
        <w:spacing w:line="560" w:lineRule="exact"/>
        <w:ind w:firstLine="640"/>
      </w:pPr>
      <w:r>
        <w:rPr>
          <w:rFonts w:hint="eastAsia"/>
        </w:rPr>
        <w:t>（二）协同负责剧毒化学品、第一类易制毒化学品、爆炸品等危险化学品和毒麻精放药品的申购备案；</w:t>
      </w:r>
    </w:p>
    <w:p>
      <w:pPr>
        <w:spacing w:line="560" w:lineRule="exact"/>
        <w:ind w:firstLine="640"/>
        <w:rPr>
          <w:rFonts w:hAnsi="华文仿宋" w:cs="宋体"/>
        </w:rPr>
      </w:pPr>
      <w:r>
        <w:rPr>
          <w:rFonts w:hint="eastAsia"/>
        </w:rPr>
        <w:t>（三）协同</w:t>
      </w:r>
      <w:r>
        <w:rPr>
          <w:rFonts w:hint="eastAsia" w:hAnsi="华文仿宋" w:cs="宋体"/>
        </w:rPr>
        <w:t>实验室安全教育；</w:t>
      </w:r>
    </w:p>
    <w:p>
      <w:pPr>
        <w:spacing w:line="560" w:lineRule="exact"/>
        <w:ind w:firstLine="640"/>
        <w:rPr>
          <w:rFonts w:hAnsi="华文仿宋" w:cs="宋体"/>
        </w:rPr>
      </w:pPr>
      <w:r>
        <w:rPr>
          <w:rFonts w:hint="eastAsia"/>
        </w:rPr>
        <w:t>（四）</w:t>
      </w:r>
      <w:r>
        <w:rPr>
          <w:rFonts w:hint="eastAsia" w:hAnsi="华文仿宋" w:cs="宋体"/>
        </w:rPr>
        <w:t>联合组织应急处置和调查。</w:t>
      </w:r>
    </w:p>
    <w:p>
      <w:pPr>
        <w:spacing w:line="560" w:lineRule="exact"/>
        <w:ind w:firstLine="643"/>
      </w:pPr>
      <w:r>
        <w:rPr>
          <w:rFonts w:hint="eastAsia"/>
          <w:b/>
        </w:rPr>
        <w:t>第八条</w:t>
      </w:r>
      <w:r>
        <w:rPr>
          <w:b/>
        </w:rPr>
        <w:t xml:space="preserve"> </w:t>
      </w:r>
      <w:r>
        <w:t xml:space="preserve"> </w:t>
      </w:r>
      <w:r>
        <w:rPr>
          <w:rFonts w:hint="eastAsia"/>
        </w:rPr>
        <w:t>人事处的主要工作职责包括：</w:t>
      </w:r>
    </w:p>
    <w:p>
      <w:pPr>
        <w:spacing w:line="560" w:lineRule="exact"/>
        <w:ind w:firstLine="640"/>
      </w:pPr>
      <w:r>
        <w:rPr>
          <w:rFonts w:hint="eastAsia"/>
        </w:rPr>
        <w:t>（一）组织新进教师参加实验室安全培训；</w:t>
      </w:r>
    </w:p>
    <w:p>
      <w:pPr>
        <w:spacing w:line="560" w:lineRule="exact"/>
        <w:ind w:firstLine="640"/>
      </w:pPr>
      <w:r>
        <w:rPr>
          <w:rFonts w:hint="eastAsia"/>
        </w:rPr>
        <w:t>（二）负责安全事故责任教职工的处理。</w:t>
      </w:r>
    </w:p>
    <w:p>
      <w:pPr>
        <w:spacing w:line="560" w:lineRule="exact"/>
        <w:ind w:firstLine="643"/>
      </w:pPr>
      <w:r>
        <w:rPr>
          <w:rFonts w:hint="eastAsia"/>
          <w:b/>
          <w:bCs/>
        </w:rPr>
        <w:t>第九条</w:t>
      </w:r>
      <w:r>
        <w:t xml:space="preserve">  </w:t>
      </w:r>
      <w:r>
        <w:rPr>
          <w:rFonts w:hint="eastAsia"/>
        </w:rPr>
        <w:t>计财处的主要工作职责包括：</w:t>
      </w:r>
    </w:p>
    <w:p>
      <w:pPr>
        <w:spacing w:line="560" w:lineRule="exact"/>
        <w:ind w:firstLine="640"/>
      </w:pPr>
      <w:r>
        <w:rPr>
          <w:rFonts w:hint="eastAsia"/>
        </w:rPr>
        <w:t>保障实验室安全与环境保护的资金投入。</w:t>
      </w:r>
    </w:p>
    <w:p>
      <w:pPr>
        <w:spacing w:line="560" w:lineRule="exact"/>
        <w:ind w:firstLine="643"/>
      </w:pPr>
      <w:r>
        <w:rPr>
          <w:rFonts w:hint="eastAsia"/>
          <w:b/>
          <w:bCs/>
        </w:rPr>
        <w:t>第十条</w:t>
      </w:r>
      <w:r>
        <w:rPr>
          <w:rFonts w:hint="eastAsia"/>
        </w:rPr>
        <w:t xml:space="preserve">  教务处的主要工作职责包括：</w:t>
      </w:r>
    </w:p>
    <w:p>
      <w:pPr>
        <w:spacing w:line="560" w:lineRule="exact"/>
        <w:ind w:firstLine="640"/>
      </w:pPr>
      <w:r>
        <w:rPr>
          <w:rFonts w:hint="eastAsia"/>
        </w:rPr>
        <w:t>（一）负责本科教学实验项目的安全风险评估；</w:t>
      </w:r>
    </w:p>
    <w:p>
      <w:pPr>
        <w:spacing w:line="560" w:lineRule="exact"/>
        <w:ind w:firstLine="640"/>
      </w:pPr>
      <w:r>
        <w:rPr>
          <w:rFonts w:hint="eastAsia"/>
        </w:rPr>
        <w:t>（二）协助开展教学实验室安全与环境保护工作的监督和检查；</w:t>
      </w:r>
    </w:p>
    <w:p>
      <w:pPr>
        <w:spacing w:line="560" w:lineRule="exact"/>
        <w:ind w:firstLine="640"/>
      </w:pPr>
      <w:r>
        <w:rPr>
          <w:rFonts w:hint="eastAsia"/>
        </w:rPr>
        <w:t>（三）协助开展本科生实验室安全教育。</w:t>
      </w:r>
    </w:p>
    <w:p>
      <w:pPr>
        <w:spacing w:line="560" w:lineRule="exact"/>
        <w:ind w:firstLine="643"/>
      </w:pPr>
      <w:r>
        <w:rPr>
          <w:rFonts w:hint="eastAsia"/>
          <w:b/>
          <w:bCs/>
        </w:rPr>
        <w:t xml:space="preserve">第十一条 </w:t>
      </w:r>
      <w:r>
        <w:rPr>
          <w:rFonts w:hint="eastAsia"/>
        </w:rPr>
        <w:t xml:space="preserve"> 科技处的主要工作职责包括：</w:t>
      </w:r>
    </w:p>
    <w:p>
      <w:pPr>
        <w:spacing w:line="560" w:lineRule="exact"/>
        <w:ind w:firstLine="640"/>
      </w:pPr>
      <w:r>
        <w:t>负责科研实验项目的安全风险评估。</w:t>
      </w:r>
    </w:p>
    <w:p>
      <w:pPr>
        <w:spacing w:line="560" w:lineRule="exact"/>
        <w:ind w:firstLine="643"/>
      </w:pPr>
      <w:r>
        <w:rPr>
          <w:rFonts w:hint="eastAsia"/>
          <w:b/>
        </w:rPr>
        <w:t xml:space="preserve">第十二条  </w:t>
      </w:r>
      <w:r>
        <w:rPr>
          <w:rFonts w:hint="eastAsia"/>
        </w:rPr>
        <w:t>学工处的主要工作职责包括：</w:t>
      </w:r>
    </w:p>
    <w:p>
      <w:pPr>
        <w:spacing w:line="560" w:lineRule="exact"/>
        <w:ind w:firstLine="640"/>
      </w:pPr>
      <w:r>
        <w:t>（一）协助开展本科生实验室安全教育；</w:t>
      </w:r>
    </w:p>
    <w:p>
      <w:pPr>
        <w:spacing w:line="560" w:lineRule="exact"/>
        <w:ind w:firstLine="640"/>
      </w:pPr>
      <w:r>
        <w:rPr>
          <w:rFonts w:hint="eastAsia"/>
        </w:rPr>
        <w:t>（二）负责安全事故责任学生的处理。</w:t>
      </w:r>
    </w:p>
    <w:p>
      <w:pPr>
        <w:spacing w:line="560" w:lineRule="exact"/>
        <w:ind w:firstLine="643"/>
      </w:pPr>
      <w:r>
        <w:rPr>
          <w:rFonts w:hint="eastAsia"/>
          <w:b/>
        </w:rPr>
        <w:t>第十三条</w:t>
      </w:r>
      <w:r>
        <w:rPr>
          <w:rFonts w:hint="eastAsia"/>
        </w:rPr>
        <w:t xml:space="preserve"> </w:t>
      </w:r>
      <w:r>
        <w:t xml:space="preserve"> </w:t>
      </w:r>
      <w:r>
        <w:rPr>
          <w:rFonts w:hint="eastAsia"/>
        </w:rPr>
        <w:t>研究生院的主要工作职责包括：</w:t>
      </w:r>
    </w:p>
    <w:p>
      <w:pPr>
        <w:spacing w:line="560" w:lineRule="exact"/>
        <w:ind w:firstLine="640"/>
      </w:pPr>
      <w:r>
        <w:rPr>
          <w:rFonts w:hint="eastAsia"/>
        </w:rPr>
        <w:t>协助开展研究生实验室安全教育。</w:t>
      </w:r>
    </w:p>
    <w:p>
      <w:pPr>
        <w:spacing w:line="560" w:lineRule="exact"/>
        <w:ind w:firstLine="643"/>
      </w:pPr>
      <w:r>
        <w:rPr>
          <w:rFonts w:hint="eastAsia"/>
          <w:b/>
        </w:rPr>
        <w:t>第十四条</w:t>
      </w:r>
      <w:r>
        <w:rPr>
          <w:b/>
        </w:rPr>
        <w:t xml:space="preserve">  </w:t>
      </w:r>
      <w:r>
        <w:rPr>
          <w:rFonts w:hint="eastAsia"/>
        </w:rPr>
        <w:t>国际教育学院的主要工作职责包括：</w:t>
      </w:r>
    </w:p>
    <w:p>
      <w:pPr>
        <w:spacing w:line="560" w:lineRule="exact"/>
        <w:ind w:firstLine="640"/>
      </w:pPr>
      <w:r>
        <w:rPr>
          <w:rFonts w:hint="eastAsia"/>
        </w:rPr>
        <w:t>协助开展留学生实验室安全教育。</w:t>
      </w:r>
    </w:p>
    <w:p>
      <w:pPr>
        <w:spacing w:line="560" w:lineRule="exact"/>
        <w:ind w:firstLine="643"/>
      </w:pPr>
      <w:r>
        <w:rPr>
          <w:rFonts w:hint="eastAsia"/>
          <w:b/>
        </w:rPr>
        <w:t xml:space="preserve">第十五条  </w:t>
      </w:r>
      <w:r>
        <w:rPr>
          <w:rFonts w:hint="eastAsia"/>
        </w:rPr>
        <w:t>基建后勤处的主要工作职责包括：</w:t>
      </w:r>
      <w:r>
        <w:t xml:space="preserve"> </w:t>
      </w:r>
    </w:p>
    <w:p>
      <w:pPr>
        <w:spacing w:line="560" w:lineRule="exact"/>
        <w:ind w:firstLine="640"/>
      </w:pPr>
      <w:r>
        <w:rPr>
          <w:rFonts w:hint="eastAsia"/>
        </w:rPr>
        <w:t>（一）负责新建项目安全环保设施的建设及保修期内的保修工作，参与建设项目运营维护；</w:t>
      </w:r>
    </w:p>
    <w:p>
      <w:pPr>
        <w:spacing w:line="560" w:lineRule="exact"/>
        <w:ind w:firstLine="640"/>
      </w:pPr>
      <w:r>
        <w:t>（二）审批实验室改造；</w:t>
      </w:r>
    </w:p>
    <w:p>
      <w:pPr>
        <w:spacing w:line="560" w:lineRule="exact"/>
        <w:ind w:firstLine="640"/>
      </w:pPr>
      <w:r>
        <w:t xml:space="preserve">（三）负责实验室水、电、管道等基础设施保障。 </w:t>
      </w:r>
    </w:p>
    <w:p>
      <w:pPr>
        <w:spacing w:line="560" w:lineRule="exact"/>
        <w:ind w:firstLine="643"/>
      </w:pPr>
      <w:r>
        <w:rPr>
          <w:rFonts w:hint="eastAsia"/>
          <w:b/>
        </w:rPr>
        <w:t xml:space="preserve">第十六条  </w:t>
      </w:r>
      <w:r>
        <w:rPr>
          <w:rFonts w:hint="eastAsia"/>
        </w:rPr>
        <w:t>后勤服务集团总公司的主要工作职责包括：</w:t>
      </w:r>
    </w:p>
    <w:p>
      <w:pPr>
        <w:spacing w:line="560" w:lineRule="exact"/>
        <w:ind w:firstLine="640"/>
      </w:pPr>
      <w:r>
        <w:rPr>
          <w:rFonts w:hint="eastAsia"/>
        </w:rPr>
        <w:t>（一）负责管制类危险化学品（含实验气体）的采购、供应和运输；</w:t>
      </w:r>
    </w:p>
    <w:p>
      <w:pPr>
        <w:spacing w:line="560" w:lineRule="exact"/>
        <w:ind w:firstLine="640"/>
      </w:pPr>
      <w:r>
        <w:rPr>
          <w:rFonts w:hint="eastAsia"/>
        </w:rPr>
        <w:t>（</w:t>
      </w:r>
      <w:r>
        <w:t>二）负责实验室危险废物收集</w:t>
      </w:r>
      <w:r>
        <w:rPr>
          <w:rFonts w:hint="eastAsia"/>
        </w:rPr>
        <w:t>和</w:t>
      </w:r>
      <w:r>
        <w:t>转运；</w:t>
      </w:r>
    </w:p>
    <w:p>
      <w:pPr>
        <w:spacing w:line="560" w:lineRule="exact"/>
        <w:ind w:firstLine="640"/>
      </w:pPr>
      <w:r>
        <w:rPr>
          <w:rFonts w:hint="eastAsia"/>
        </w:rPr>
        <w:t>（三）负责实验用品的入校消杀。</w:t>
      </w:r>
    </w:p>
    <w:p>
      <w:pPr>
        <w:spacing w:line="560" w:lineRule="exact"/>
        <w:ind w:firstLine="643"/>
      </w:pPr>
      <w:r>
        <w:rPr>
          <w:rFonts w:hint="eastAsia"/>
          <w:b/>
        </w:rPr>
        <w:t>第十七条</w:t>
      </w:r>
      <w:r>
        <w:rPr>
          <w:b/>
        </w:rPr>
        <w:t xml:space="preserve"> </w:t>
      </w:r>
      <w:r>
        <w:rPr>
          <w:rFonts w:hint="eastAsia"/>
        </w:rPr>
        <w:t>二级单位党政负责人是本单位实验室安全与环境保护工作主要领导责任人，分管实验室安全与环境保护工作的领导协助主要领导责任人履行管理职责，对本单位的实验室安全与环境保护工作负重要领导责任。其他本单位领导在分管工作范围内对实验室安全与环境保护工作负有支持、监督和指导职责。</w:t>
      </w:r>
    </w:p>
    <w:p>
      <w:pPr>
        <w:spacing w:line="560" w:lineRule="exact"/>
        <w:ind w:firstLine="640"/>
      </w:pPr>
      <w:r>
        <w:rPr>
          <w:rFonts w:hint="eastAsia"/>
        </w:rPr>
        <w:t>各二级单位建立本单位实验室安全与环境保护工作小组，组长由党政负责人担任，副组长由分管实验室安全与环境保护工作的领导担任，</w:t>
      </w:r>
      <w:bookmarkStart w:id="1" w:name="_GoBack"/>
      <w:bookmarkEnd w:id="1"/>
      <w:r>
        <w:rPr>
          <w:rFonts w:hint="eastAsia"/>
        </w:rPr>
        <w:t>成员由二级单位下属机构负责人以及本单位安全员组成。</w:t>
      </w:r>
    </w:p>
    <w:p>
      <w:pPr>
        <w:spacing w:line="560" w:lineRule="exact"/>
        <w:ind w:firstLine="640"/>
      </w:pPr>
      <w:r>
        <w:rPr>
          <w:rFonts w:hint="eastAsia"/>
        </w:rPr>
        <w:t>工作小组的主要工作职责包括：负责制定符合本单位学科与专业特点的实验室安全与环境保护管理制度、巡查制度、技术规范、操作规程、准入要求、安全事故应急预案等，注重实验室安全文化培育，落实本单位实验室安全培训与准入、安全检查与整改工作，按照相关要求履行安全工作职责，消除安全隐患。</w:t>
      </w:r>
    </w:p>
    <w:p>
      <w:pPr>
        <w:spacing w:line="560" w:lineRule="exact"/>
        <w:ind w:firstLine="643"/>
        <w:rPr>
          <w:kern w:val="0"/>
          <w:szCs w:val="24"/>
        </w:rPr>
      </w:pPr>
      <w:r>
        <w:rPr>
          <w:rFonts w:hint="eastAsia"/>
          <w:b/>
        </w:rPr>
        <w:t xml:space="preserve">第十八条  </w:t>
      </w:r>
      <w:r>
        <w:rPr>
          <w:rFonts w:hint="eastAsia"/>
          <w:kern w:val="0"/>
          <w:szCs w:val="24"/>
        </w:rPr>
        <w:t>各实验室责任人是本实验室安全工作的直接责任人，主要工作职责包括：</w:t>
      </w:r>
    </w:p>
    <w:p>
      <w:pPr>
        <w:spacing w:line="560" w:lineRule="exact"/>
        <w:ind w:firstLine="640"/>
      </w:pPr>
      <w:r>
        <w:rPr>
          <w:rFonts w:hint="eastAsia"/>
        </w:rPr>
        <w:t>（一）落实学校有关实验室安全规章制度，加强实验室危险源的管理，制定应急处置方法，定期组织实验室安全隐患的自查与整改等；</w:t>
      </w:r>
    </w:p>
    <w:p>
      <w:pPr>
        <w:spacing w:line="560" w:lineRule="exact"/>
        <w:ind w:firstLine="640"/>
      </w:pPr>
      <w:r>
        <w:rPr>
          <w:rFonts w:hint="eastAsia"/>
        </w:rPr>
        <w:t>（二）落实参与人员的安全培训与准入要求，使其掌握本实验室涉及的危险源、安全操作规范及突发情况处置方法；</w:t>
      </w:r>
    </w:p>
    <w:p>
      <w:pPr>
        <w:spacing w:line="560" w:lineRule="exact"/>
        <w:ind w:firstLine="640"/>
      </w:pPr>
      <w:r>
        <w:rPr>
          <w:rFonts w:hint="eastAsia"/>
        </w:rPr>
        <w:t>（三）落实本实验室相关的安全设施，如警示标识、防护用品、急救设施、安全用品等。</w:t>
      </w:r>
    </w:p>
    <w:p>
      <w:pPr>
        <w:spacing w:line="560" w:lineRule="exact"/>
        <w:ind w:firstLine="643"/>
        <w:rPr>
          <w:b/>
        </w:rPr>
      </w:pPr>
    </w:p>
    <w:p>
      <w:pPr>
        <w:pStyle w:val="2"/>
        <w:spacing w:line="560" w:lineRule="exact"/>
        <w:rPr>
          <w:rFonts w:ascii="方正黑体_GBK" w:eastAsia="方正黑体_GBK"/>
        </w:rPr>
      </w:pPr>
      <w:r>
        <w:rPr>
          <w:rFonts w:hint="eastAsia" w:ascii="方正黑体_GBK" w:eastAsia="方正黑体_GBK"/>
        </w:rPr>
        <w:t>第三章 主要管理内容</w:t>
      </w:r>
    </w:p>
    <w:p>
      <w:pPr>
        <w:spacing w:line="560" w:lineRule="exact"/>
        <w:ind w:firstLine="643"/>
      </w:pPr>
      <w:r>
        <w:rPr>
          <w:rFonts w:hint="eastAsia"/>
          <w:b/>
          <w:bCs/>
        </w:rPr>
        <w:t>第十九条</w:t>
      </w:r>
      <w:r>
        <w:rPr>
          <w:rFonts w:hint="eastAsia"/>
          <w:bCs/>
        </w:rPr>
        <w:t xml:space="preserve"> </w:t>
      </w:r>
      <w:r>
        <w:rPr>
          <w:rFonts w:hint="eastAsia"/>
        </w:rPr>
        <w:t xml:space="preserve"> 建立安全教育培训制度</w:t>
      </w:r>
    </w:p>
    <w:p>
      <w:pPr>
        <w:spacing w:line="560" w:lineRule="exact"/>
        <w:ind w:firstLine="640"/>
      </w:pPr>
      <w:r>
        <w:rPr>
          <w:rFonts w:hint="eastAsia"/>
        </w:rPr>
        <w:t>按照“全员、全面、全程”的要求，多渠道开展安全宣传教育和突发事件应急演练，强化师生安全意识，提高师生安全技能；积极构建实验室安全教育课程，提高学生实验室安全素养。</w:t>
      </w:r>
    </w:p>
    <w:p>
      <w:pPr>
        <w:spacing w:line="560" w:lineRule="exact"/>
        <w:ind w:firstLine="643"/>
      </w:pPr>
      <w:r>
        <w:rPr>
          <w:rFonts w:hint="eastAsia"/>
          <w:b/>
        </w:rPr>
        <w:t>第二十条</w:t>
      </w:r>
      <w:r>
        <w:rPr>
          <w:b/>
        </w:rPr>
        <w:t xml:space="preserve"> </w:t>
      </w:r>
      <w:r>
        <w:t xml:space="preserve"> </w:t>
      </w:r>
      <w:r>
        <w:rPr>
          <w:rFonts w:hint="eastAsia"/>
        </w:rPr>
        <w:t>建立全员实验室安全准入制度</w:t>
      </w:r>
    </w:p>
    <w:p>
      <w:pPr>
        <w:spacing w:line="560" w:lineRule="exact"/>
        <w:ind w:firstLine="640"/>
      </w:pPr>
      <w:r>
        <w:rPr>
          <w:rFonts w:hint="eastAsia"/>
        </w:rPr>
        <w:t>凡进入实验室的人员必须进行危险源安全知识、安全技能、操作规范等相关培训，未经相关安全教育并取得合格成绩的人员不得进入实验室。</w:t>
      </w:r>
    </w:p>
    <w:p>
      <w:pPr>
        <w:spacing w:line="560" w:lineRule="exact"/>
        <w:ind w:firstLine="643"/>
      </w:pPr>
      <w:r>
        <w:rPr>
          <w:rFonts w:hint="eastAsia"/>
          <w:b/>
        </w:rPr>
        <w:t>第二十一条</w:t>
      </w:r>
      <w:r>
        <w:rPr>
          <w:rFonts w:hint="eastAsia"/>
        </w:rPr>
        <w:t xml:space="preserve">  建立安全风险评估制度</w:t>
      </w:r>
    </w:p>
    <w:p>
      <w:pPr>
        <w:spacing w:line="560" w:lineRule="exact"/>
        <w:ind w:firstLine="640"/>
      </w:pPr>
      <w:r>
        <w:rPr>
          <w:rFonts w:hint="eastAsia"/>
        </w:rPr>
        <w:t>实验室对所开展的教学科研活动进行安全风险评估，并建立实验室人员安全准入和实验过程管理机制。实验室在开展新增实验项目前必须进行安全风险评估，明确安全隐患和应对措施。在新建、改建、扩建实验室时，建设单位要把安全风险评估作为建设立项的必要条件，项目建成、验收合格，明确管理维护部门、完成交接后，方可投入使用。</w:t>
      </w:r>
    </w:p>
    <w:p>
      <w:pPr>
        <w:spacing w:line="560" w:lineRule="exact"/>
        <w:ind w:firstLine="643"/>
      </w:pPr>
      <w:r>
        <w:rPr>
          <w:rFonts w:hint="eastAsia"/>
          <w:b/>
        </w:rPr>
        <w:t xml:space="preserve">第二十二条 </w:t>
      </w:r>
      <w:r>
        <w:t xml:space="preserve"> </w:t>
      </w:r>
      <w:r>
        <w:rPr>
          <w:rFonts w:hint="eastAsia"/>
        </w:rPr>
        <w:t>建立危险源全周期管理制度</w:t>
      </w:r>
    </w:p>
    <w:p>
      <w:pPr>
        <w:spacing w:line="560" w:lineRule="exact"/>
        <w:ind w:firstLine="640"/>
      </w:pPr>
      <w:r>
        <w:rPr>
          <w:rFonts w:hint="eastAsia"/>
        </w:rPr>
        <w:t>针对危险化学品、病原微生物、辐射源等危险源建立采购、运输、存储、使用、处置等全流程全周期监督管理。采购和运输必须选择具备相应资质的单位和渠道，存储要有专门安全柜并严格控制数量，使用时须由专人负责发放、回收和详细记录。实验后产生的危险废物要统一收储并依法依规科学处置。</w:t>
      </w:r>
    </w:p>
    <w:p>
      <w:pPr>
        <w:spacing w:line="560" w:lineRule="exact"/>
        <w:ind w:firstLine="643"/>
      </w:pPr>
      <w:r>
        <w:rPr>
          <w:rFonts w:hint="eastAsia"/>
          <w:b/>
        </w:rPr>
        <w:t>第二十三条</w:t>
      </w:r>
      <w:r>
        <w:rPr>
          <w:rFonts w:hint="eastAsia"/>
        </w:rPr>
        <w:t xml:space="preserve">  建立实验室分级分类管理制度 </w:t>
      </w:r>
    </w:p>
    <w:p>
      <w:pPr>
        <w:spacing w:line="560" w:lineRule="exact"/>
        <w:ind w:firstLine="640"/>
      </w:pPr>
      <w:r>
        <w:rPr>
          <w:rFonts w:hint="eastAsia"/>
          <w:kern w:val="0"/>
        </w:rPr>
        <w:t>对存在安全风险的实验室进行分级分类管理，实行实验室安全风险告知，对危险源类别、防护措施、应急预案、安全责任人和有效的应急联系电话等，在实验室的相关部位应有安全警示与安全标识。</w:t>
      </w:r>
    </w:p>
    <w:p>
      <w:pPr>
        <w:spacing w:line="560" w:lineRule="exact"/>
        <w:ind w:firstLine="643"/>
        <w:rPr>
          <w:kern w:val="0"/>
        </w:rPr>
      </w:pPr>
      <w:r>
        <w:rPr>
          <w:rFonts w:hint="eastAsia"/>
          <w:b/>
          <w:kern w:val="0"/>
        </w:rPr>
        <w:t xml:space="preserve">第二十四条 </w:t>
      </w:r>
      <w:r>
        <w:rPr>
          <w:kern w:val="0"/>
        </w:rPr>
        <w:t xml:space="preserve"> </w:t>
      </w:r>
      <w:r>
        <w:rPr>
          <w:rFonts w:hint="eastAsia"/>
          <w:kern w:val="0"/>
        </w:rPr>
        <w:t>建立安全应急制度</w:t>
      </w:r>
    </w:p>
    <w:p>
      <w:pPr>
        <w:spacing w:line="560" w:lineRule="exact"/>
        <w:ind w:firstLine="640"/>
        <w:rPr>
          <w:kern w:val="0"/>
        </w:rPr>
      </w:pPr>
      <w:r>
        <w:rPr>
          <w:rFonts w:hint="eastAsia"/>
          <w:kern w:val="0"/>
        </w:rPr>
        <w:t>建立应急预案逐级报备制度和应急演练制度，对实验室专职管理人员定期开展应急处置知识学习和应急处理培训，配齐配足应急人员、物资、装备和经费，确保应急功能完备、人员到位、装备齐全、响应及时。</w:t>
      </w:r>
    </w:p>
    <w:p>
      <w:pPr>
        <w:spacing w:line="560" w:lineRule="exact"/>
        <w:ind w:firstLine="600"/>
        <w:rPr>
          <w:rFonts w:ascii="黑体" w:hAnsi="黑体" w:eastAsia="黑体"/>
          <w:sz w:val="30"/>
          <w:szCs w:val="30"/>
        </w:rPr>
      </w:pPr>
    </w:p>
    <w:p>
      <w:pPr>
        <w:pStyle w:val="2"/>
        <w:spacing w:line="560" w:lineRule="exact"/>
        <w:rPr>
          <w:rFonts w:ascii="方正黑体_GBK" w:eastAsia="方正黑体_GBK"/>
        </w:rPr>
      </w:pPr>
      <w:r>
        <w:rPr>
          <w:rFonts w:hint="eastAsia" w:ascii="方正黑体_GBK" w:eastAsia="方正黑体_GBK"/>
        </w:rPr>
        <w:t>第四章 技术安全</w:t>
      </w:r>
    </w:p>
    <w:p>
      <w:pPr>
        <w:spacing w:line="560" w:lineRule="exact"/>
        <w:ind w:firstLine="643"/>
      </w:pPr>
      <w:r>
        <w:rPr>
          <w:rFonts w:hint="eastAsia"/>
          <w:b/>
        </w:rPr>
        <w:t>第二十五条</w:t>
      </w:r>
      <w:r>
        <w:t xml:space="preserve">  </w:t>
      </w:r>
      <w:r>
        <w:rPr>
          <w:rFonts w:hint="eastAsia"/>
        </w:rPr>
        <w:t>实验室技术安全主要包括危险化学品、生物、辐射、危险废物、特种设备和安全防护等，具体按照相关部门制定的专项管理制度或操作规程执行。</w:t>
      </w:r>
    </w:p>
    <w:p>
      <w:pPr>
        <w:spacing w:line="560" w:lineRule="exact"/>
        <w:ind w:firstLine="600"/>
        <w:rPr>
          <w:rFonts w:ascii="黑体" w:hAnsi="黑体" w:eastAsia="黑体"/>
          <w:sz w:val="30"/>
          <w:szCs w:val="30"/>
        </w:rPr>
      </w:pPr>
    </w:p>
    <w:p>
      <w:pPr>
        <w:pStyle w:val="2"/>
        <w:spacing w:line="560" w:lineRule="exact"/>
        <w:rPr>
          <w:rFonts w:ascii="方正黑体_GBK" w:eastAsia="方正黑体_GBK"/>
        </w:rPr>
      </w:pPr>
      <w:r>
        <w:rPr>
          <w:rFonts w:hint="eastAsia" w:ascii="方正黑体_GBK" w:eastAsia="方正黑体_GBK"/>
        </w:rPr>
        <w:t>第五章 安全检查及整改</w:t>
      </w:r>
    </w:p>
    <w:p>
      <w:pPr>
        <w:spacing w:line="560" w:lineRule="exact"/>
        <w:ind w:firstLine="643"/>
        <w:rPr>
          <w:lang w:bidi="ar"/>
        </w:rPr>
      </w:pPr>
      <w:r>
        <w:rPr>
          <w:rFonts w:hint="eastAsia"/>
          <w:b/>
        </w:rPr>
        <w:t>第二十六条</w:t>
      </w:r>
      <w:r>
        <w:t xml:space="preserve">  </w:t>
      </w:r>
      <w:r>
        <w:rPr>
          <w:rFonts w:hint="eastAsia"/>
        </w:rPr>
        <w:t>学校、二级单位对实验室开展“全过程、全要素、全覆盖”的定期安全检查，核查安全制度、责任体系、安全教育落实情况和存在的安全隐患，实行问题排查、登记、报告、整改的“闭环管理”，严格落实整改措施、责任、资金、时限和预案“五到位”。对存在重大安全隐患的实验室，应当立即停止实验室运行直至隐患彻底整改消除。实验室自查由实验室自行组织，按照上述要求执行。</w:t>
      </w:r>
    </w:p>
    <w:p>
      <w:pPr>
        <w:spacing w:line="560" w:lineRule="exact"/>
        <w:ind w:firstLine="640"/>
        <w:rPr>
          <w:rFonts w:eastAsia="华文仿宋"/>
        </w:rPr>
      </w:pPr>
    </w:p>
    <w:p>
      <w:pPr>
        <w:pStyle w:val="2"/>
        <w:spacing w:line="560" w:lineRule="exact"/>
        <w:rPr>
          <w:rFonts w:ascii="方正黑体_GBK" w:eastAsia="方正黑体_GBK"/>
        </w:rPr>
      </w:pPr>
      <w:r>
        <w:rPr>
          <w:rFonts w:hint="eastAsia" w:ascii="方正黑体_GBK" w:eastAsia="方正黑体_GBK"/>
        </w:rPr>
        <w:t xml:space="preserve">第六章 </w:t>
      </w:r>
      <w:r>
        <w:rPr>
          <w:rFonts w:ascii="方正黑体_GBK" w:eastAsia="方正黑体_GBK"/>
        </w:rPr>
        <w:t xml:space="preserve"> </w:t>
      </w:r>
      <w:r>
        <w:rPr>
          <w:rFonts w:hint="eastAsia"/>
        </w:rPr>
        <w:t>隐患及事故</w:t>
      </w:r>
      <w:r>
        <w:rPr>
          <w:rFonts w:hint="eastAsia" w:ascii="方正黑体_GBK" w:eastAsia="方正黑体_GBK"/>
        </w:rPr>
        <w:t>处理</w:t>
      </w:r>
    </w:p>
    <w:p>
      <w:pPr>
        <w:spacing w:line="560" w:lineRule="exact"/>
        <w:ind w:firstLine="643"/>
      </w:pPr>
      <w:r>
        <w:rPr>
          <w:rFonts w:hint="eastAsia" w:cs="Times New Roman"/>
          <w:b/>
        </w:rPr>
        <w:t>第二十七条</w:t>
      </w:r>
      <w:r>
        <w:rPr>
          <w:rFonts w:cs="Times New Roman"/>
          <w:b/>
        </w:rPr>
        <w:t xml:space="preserve"> </w:t>
      </w:r>
      <w:r>
        <w:rPr>
          <w:rFonts w:cs="Times New Roman"/>
        </w:rPr>
        <w:t xml:space="preserve"> </w:t>
      </w:r>
      <w:r>
        <w:rPr>
          <w:rFonts w:hint="eastAsia"/>
        </w:rPr>
        <w:t>实验室隐患及事故的处理，根据《中国药科大学实验室安全管理和环境保护隐患及事故认定处理办法（试行）》执行。</w:t>
      </w:r>
    </w:p>
    <w:p>
      <w:pPr>
        <w:spacing w:line="560" w:lineRule="exact"/>
        <w:ind w:firstLine="643"/>
      </w:pPr>
      <w:r>
        <w:rPr>
          <w:rFonts w:hint="eastAsia" w:cs="Times New Roman"/>
          <w:b/>
        </w:rPr>
        <w:t xml:space="preserve">第二十八条 </w:t>
      </w:r>
      <w:r>
        <w:rPr>
          <w:rFonts w:cs="Times New Roman"/>
          <w:b/>
        </w:rPr>
        <w:t xml:space="preserve"> </w:t>
      </w:r>
      <w:r>
        <w:rPr>
          <w:rFonts w:hint="eastAsia"/>
        </w:rPr>
        <w:t>学校成立校级实验室安全管理和环境保护隐患及事故认定小组，二级单位成立本单位实验室安全管理和环境保护隐患及事故认定小组。</w:t>
      </w:r>
    </w:p>
    <w:p>
      <w:pPr>
        <w:spacing w:line="560" w:lineRule="exact"/>
        <w:ind w:firstLine="643"/>
      </w:pPr>
      <w:r>
        <w:rPr>
          <w:rFonts w:hint="eastAsia" w:cs="Times New Roman"/>
          <w:b/>
        </w:rPr>
        <w:t>第二十九条</w:t>
      </w:r>
      <w:r>
        <w:rPr>
          <w:rFonts w:hint="eastAsia"/>
        </w:rPr>
        <w:t xml:space="preserve"> </w:t>
      </w:r>
      <w:r>
        <w:t xml:space="preserve"> </w:t>
      </w:r>
      <w:r>
        <w:rPr>
          <w:rFonts w:hint="eastAsia"/>
        </w:rPr>
        <w:t>实验室安全管理和环境保护隐患及事故发生后，事故责任教职工所在二级单位应第一时间向实验室与设备管理处报告。隐患及事故由责任教职工所在二级单位认定小组进行调查，初步认定隐患及事故等级、提出处理意见，于隐患及事故发生后5个工作日内提交实验室与设备管理处。校认定小组根据隐患及事故责任教职工所在二级单位的初步调查结论，提出认定等级及处理意见。</w:t>
      </w:r>
    </w:p>
    <w:p>
      <w:pPr>
        <w:pStyle w:val="2"/>
        <w:spacing w:line="560" w:lineRule="exact"/>
        <w:rPr>
          <w:rFonts w:ascii="方正黑体_GBK" w:eastAsia="方正黑体_GBK"/>
        </w:rPr>
      </w:pPr>
    </w:p>
    <w:p>
      <w:pPr>
        <w:pStyle w:val="2"/>
        <w:spacing w:line="560" w:lineRule="exact"/>
        <w:rPr>
          <w:rFonts w:ascii="方正黑体_GBK" w:eastAsia="方正黑体_GBK"/>
        </w:rPr>
      </w:pPr>
      <w:r>
        <w:rPr>
          <w:rFonts w:hint="eastAsia" w:ascii="方正黑体_GBK" w:eastAsia="方正黑体_GBK"/>
        </w:rPr>
        <w:t>第七章 附则</w:t>
      </w:r>
    </w:p>
    <w:p>
      <w:pPr>
        <w:spacing w:line="560" w:lineRule="exact"/>
        <w:ind w:firstLine="643"/>
      </w:pPr>
      <w:r>
        <w:rPr>
          <w:rFonts w:hint="eastAsia"/>
          <w:b/>
        </w:rPr>
        <w:t>第三十条</w:t>
      </w:r>
      <w:r>
        <w:rPr>
          <w:rFonts w:hint="eastAsia"/>
        </w:rPr>
        <w:t xml:space="preserve">  各二级单位应根据本办法结合实际制定相应的管理规定或实施细则。</w:t>
      </w:r>
    </w:p>
    <w:p>
      <w:pPr>
        <w:spacing w:line="560" w:lineRule="exact"/>
        <w:ind w:firstLine="643"/>
      </w:pPr>
      <w:r>
        <w:rPr>
          <w:rFonts w:hint="eastAsia"/>
          <w:b/>
        </w:rPr>
        <w:t>第三十一条</w:t>
      </w:r>
      <w:r>
        <w:rPr>
          <w:rFonts w:hint="eastAsia"/>
        </w:rPr>
        <w:t xml:space="preserve">  本办法自发布之日起执行，由实验室与设备管理处负责解释，未尽事宜按国家相关法律法规执行。</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_GB2312??alt">
    <w:altName w:val="Consolas"/>
    <w:panose1 w:val="00000000000000000000"/>
    <w:charset w:val="00"/>
    <w:family w:val="modern"/>
    <w:pitch w:val="default"/>
    <w:sig w:usb0="00000000" w:usb1="00000000" w:usb2="00000000" w:usb3="00000000" w:csb0="00000001" w:csb1="00000000"/>
  </w:font>
  <w:font w:name="Consolas">
    <w:panose1 w:val="020B0609020204030204"/>
    <w:charset w:val="00"/>
    <w:family w:val="auto"/>
    <w:pitch w:val="default"/>
    <w:sig w:usb0="E10002FF" w:usb1="4000FCFF" w:usb2="00000009" w:usb3="00000000" w:csb0="6000019F" w:csb1="DFD7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5366328"/>
    </w:sdtPr>
    <w:sdtContent>
      <w:p>
        <w:pPr>
          <w:pStyle w:val="6"/>
          <w:ind w:firstLine="360"/>
          <w:jc w:val="center"/>
        </w:pPr>
        <w:r>
          <w:fldChar w:fldCharType="begin"/>
        </w:r>
        <w:r>
          <w:instrText xml:space="preserve">PAGE   \* MERGEFORMAT</w:instrText>
        </w:r>
        <w:r>
          <w:fldChar w:fldCharType="separate"/>
        </w:r>
        <w:r>
          <w:rPr>
            <w:lang w:val="zh-CN"/>
          </w:rPr>
          <w:t>9</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F01"/>
    <w:rsid w:val="0000516C"/>
    <w:rsid w:val="00011748"/>
    <w:rsid w:val="00020C71"/>
    <w:rsid w:val="000407BD"/>
    <w:rsid w:val="00050105"/>
    <w:rsid w:val="00064907"/>
    <w:rsid w:val="00083D73"/>
    <w:rsid w:val="000A3E6F"/>
    <w:rsid w:val="000B1B93"/>
    <w:rsid w:val="000B31D3"/>
    <w:rsid w:val="000B3B05"/>
    <w:rsid w:val="000C4015"/>
    <w:rsid w:val="000C4F22"/>
    <w:rsid w:val="000C5954"/>
    <w:rsid w:val="000C5D90"/>
    <w:rsid w:val="000D1CE8"/>
    <w:rsid w:val="000D1D06"/>
    <w:rsid w:val="000E450F"/>
    <w:rsid w:val="000E52BC"/>
    <w:rsid w:val="000F40D8"/>
    <w:rsid w:val="000F5930"/>
    <w:rsid w:val="000F5BB7"/>
    <w:rsid w:val="00100F84"/>
    <w:rsid w:val="001040C6"/>
    <w:rsid w:val="00104611"/>
    <w:rsid w:val="00104ECF"/>
    <w:rsid w:val="00107FB6"/>
    <w:rsid w:val="00116C6A"/>
    <w:rsid w:val="00117C1A"/>
    <w:rsid w:val="00120AFF"/>
    <w:rsid w:val="00127D84"/>
    <w:rsid w:val="00134656"/>
    <w:rsid w:val="00143BE2"/>
    <w:rsid w:val="00147017"/>
    <w:rsid w:val="0015004A"/>
    <w:rsid w:val="0015570D"/>
    <w:rsid w:val="00155AD7"/>
    <w:rsid w:val="00167CB0"/>
    <w:rsid w:val="00172B94"/>
    <w:rsid w:val="00172D5A"/>
    <w:rsid w:val="00172FF6"/>
    <w:rsid w:val="0017675F"/>
    <w:rsid w:val="00183D19"/>
    <w:rsid w:val="00187C47"/>
    <w:rsid w:val="0019551E"/>
    <w:rsid w:val="00196A96"/>
    <w:rsid w:val="001A434C"/>
    <w:rsid w:val="001A7CA3"/>
    <w:rsid w:val="001B50CD"/>
    <w:rsid w:val="001B609B"/>
    <w:rsid w:val="001C767C"/>
    <w:rsid w:val="001D5D90"/>
    <w:rsid w:val="001E2FB9"/>
    <w:rsid w:val="001E7932"/>
    <w:rsid w:val="001F1CC0"/>
    <w:rsid w:val="001F40DE"/>
    <w:rsid w:val="0021210E"/>
    <w:rsid w:val="00216100"/>
    <w:rsid w:val="002212DB"/>
    <w:rsid w:val="00221FF9"/>
    <w:rsid w:val="00224FFE"/>
    <w:rsid w:val="00257CB3"/>
    <w:rsid w:val="00261FD9"/>
    <w:rsid w:val="00264446"/>
    <w:rsid w:val="00271E19"/>
    <w:rsid w:val="0027570B"/>
    <w:rsid w:val="00277C45"/>
    <w:rsid w:val="0028631F"/>
    <w:rsid w:val="002C4335"/>
    <w:rsid w:val="002D2A69"/>
    <w:rsid w:val="002D4F20"/>
    <w:rsid w:val="002E1F0D"/>
    <w:rsid w:val="002F0CA1"/>
    <w:rsid w:val="002F1DC7"/>
    <w:rsid w:val="002F2D4D"/>
    <w:rsid w:val="002F7115"/>
    <w:rsid w:val="003056BE"/>
    <w:rsid w:val="00307915"/>
    <w:rsid w:val="0032186D"/>
    <w:rsid w:val="00326AE2"/>
    <w:rsid w:val="0033529B"/>
    <w:rsid w:val="003440D8"/>
    <w:rsid w:val="00344EC0"/>
    <w:rsid w:val="00364D89"/>
    <w:rsid w:val="00364DC4"/>
    <w:rsid w:val="00370672"/>
    <w:rsid w:val="00371D31"/>
    <w:rsid w:val="00382494"/>
    <w:rsid w:val="0038346A"/>
    <w:rsid w:val="00391FD0"/>
    <w:rsid w:val="00394929"/>
    <w:rsid w:val="00395099"/>
    <w:rsid w:val="003B0203"/>
    <w:rsid w:val="003B17B0"/>
    <w:rsid w:val="003D1703"/>
    <w:rsid w:val="003D4CC3"/>
    <w:rsid w:val="003D5697"/>
    <w:rsid w:val="003F17FD"/>
    <w:rsid w:val="003F2394"/>
    <w:rsid w:val="00411996"/>
    <w:rsid w:val="00411F30"/>
    <w:rsid w:val="004143C2"/>
    <w:rsid w:val="00423C75"/>
    <w:rsid w:val="00442F9B"/>
    <w:rsid w:val="00452294"/>
    <w:rsid w:val="004804C5"/>
    <w:rsid w:val="00482559"/>
    <w:rsid w:val="00482AE3"/>
    <w:rsid w:val="004852D7"/>
    <w:rsid w:val="00491C16"/>
    <w:rsid w:val="00495B5C"/>
    <w:rsid w:val="004A3029"/>
    <w:rsid w:val="004A4383"/>
    <w:rsid w:val="004B52D2"/>
    <w:rsid w:val="004C0EAD"/>
    <w:rsid w:val="004D168F"/>
    <w:rsid w:val="004E0A2B"/>
    <w:rsid w:val="004E74C2"/>
    <w:rsid w:val="004F5F61"/>
    <w:rsid w:val="004F7565"/>
    <w:rsid w:val="005037DA"/>
    <w:rsid w:val="00504064"/>
    <w:rsid w:val="0050754F"/>
    <w:rsid w:val="00512AAE"/>
    <w:rsid w:val="0052198D"/>
    <w:rsid w:val="0052332F"/>
    <w:rsid w:val="00524F2F"/>
    <w:rsid w:val="00527D86"/>
    <w:rsid w:val="0053223E"/>
    <w:rsid w:val="005366D2"/>
    <w:rsid w:val="005400E6"/>
    <w:rsid w:val="00540121"/>
    <w:rsid w:val="00543873"/>
    <w:rsid w:val="00550136"/>
    <w:rsid w:val="005516B3"/>
    <w:rsid w:val="005612DF"/>
    <w:rsid w:val="00573DB1"/>
    <w:rsid w:val="005818F0"/>
    <w:rsid w:val="00584572"/>
    <w:rsid w:val="00591FE3"/>
    <w:rsid w:val="005965FD"/>
    <w:rsid w:val="0059791D"/>
    <w:rsid w:val="005B12F2"/>
    <w:rsid w:val="005B2A27"/>
    <w:rsid w:val="005C28E8"/>
    <w:rsid w:val="005D3445"/>
    <w:rsid w:val="005D4F01"/>
    <w:rsid w:val="005D779A"/>
    <w:rsid w:val="005E1045"/>
    <w:rsid w:val="005E34A8"/>
    <w:rsid w:val="005F0284"/>
    <w:rsid w:val="00601C53"/>
    <w:rsid w:val="00602486"/>
    <w:rsid w:val="0060357E"/>
    <w:rsid w:val="00610638"/>
    <w:rsid w:val="00612201"/>
    <w:rsid w:val="00650264"/>
    <w:rsid w:val="0065503D"/>
    <w:rsid w:val="00665571"/>
    <w:rsid w:val="00665E0C"/>
    <w:rsid w:val="0067157C"/>
    <w:rsid w:val="00675BE0"/>
    <w:rsid w:val="006777B0"/>
    <w:rsid w:val="00677BD2"/>
    <w:rsid w:val="006937C6"/>
    <w:rsid w:val="006B73E1"/>
    <w:rsid w:val="006C2AC8"/>
    <w:rsid w:val="006C614B"/>
    <w:rsid w:val="006D177A"/>
    <w:rsid w:val="006D2A4A"/>
    <w:rsid w:val="006E1064"/>
    <w:rsid w:val="006E2466"/>
    <w:rsid w:val="006E669B"/>
    <w:rsid w:val="006E68E8"/>
    <w:rsid w:val="006E7F71"/>
    <w:rsid w:val="006F0E3C"/>
    <w:rsid w:val="006F3888"/>
    <w:rsid w:val="00710743"/>
    <w:rsid w:val="00710896"/>
    <w:rsid w:val="007169DE"/>
    <w:rsid w:val="00725D6B"/>
    <w:rsid w:val="00727591"/>
    <w:rsid w:val="007335E9"/>
    <w:rsid w:val="00736BAF"/>
    <w:rsid w:val="0074557A"/>
    <w:rsid w:val="00761AC9"/>
    <w:rsid w:val="00773571"/>
    <w:rsid w:val="00775072"/>
    <w:rsid w:val="00776E81"/>
    <w:rsid w:val="00777455"/>
    <w:rsid w:val="00783197"/>
    <w:rsid w:val="007906EB"/>
    <w:rsid w:val="00790B07"/>
    <w:rsid w:val="00795F9B"/>
    <w:rsid w:val="007973AB"/>
    <w:rsid w:val="00797BAB"/>
    <w:rsid w:val="007A0FE1"/>
    <w:rsid w:val="007A4B54"/>
    <w:rsid w:val="007A6098"/>
    <w:rsid w:val="007A6E32"/>
    <w:rsid w:val="007B377A"/>
    <w:rsid w:val="007B58D6"/>
    <w:rsid w:val="007D344E"/>
    <w:rsid w:val="007D7997"/>
    <w:rsid w:val="007E1A94"/>
    <w:rsid w:val="007E3778"/>
    <w:rsid w:val="007F1496"/>
    <w:rsid w:val="007F4BC1"/>
    <w:rsid w:val="007F4BE0"/>
    <w:rsid w:val="00806384"/>
    <w:rsid w:val="00812008"/>
    <w:rsid w:val="00812EBB"/>
    <w:rsid w:val="00824C75"/>
    <w:rsid w:val="00827DA8"/>
    <w:rsid w:val="00833A36"/>
    <w:rsid w:val="00834930"/>
    <w:rsid w:val="00840B79"/>
    <w:rsid w:val="00850C3E"/>
    <w:rsid w:val="00852056"/>
    <w:rsid w:val="00854F9E"/>
    <w:rsid w:val="008620FC"/>
    <w:rsid w:val="00866870"/>
    <w:rsid w:val="00875971"/>
    <w:rsid w:val="00887C4A"/>
    <w:rsid w:val="00890116"/>
    <w:rsid w:val="008B2095"/>
    <w:rsid w:val="008C43CF"/>
    <w:rsid w:val="008C4DBA"/>
    <w:rsid w:val="008E2568"/>
    <w:rsid w:val="008E3B81"/>
    <w:rsid w:val="008E58C3"/>
    <w:rsid w:val="008E6B61"/>
    <w:rsid w:val="008E7518"/>
    <w:rsid w:val="008F1A2D"/>
    <w:rsid w:val="008F7FF7"/>
    <w:rsid w:val="009008FB"/>
    <w:rsid w:val="00900DF5"/>
    <w:rsid w:val="00901800"/>
    <w:rsid w:val="00904BA3"/>
    <w:rsid w:val="00913087"/>
    <w:rsid w:val="0092362B"/>
    <w:rsid w:val="00927129"/>
    <w:rsid w:val="00933754"/>
    <w:rsid w:val="009401CE"/>
    <w:rsid w:val="009462B2"/>
    <w:rsid w:val="009468EF"/>
    <w:rsid w:val="00947BD6"/>
    <w:rsid w:val="009520DF"/>
    <w:rsid w:val="0096579B"/>
    <w:rsid w:val="009741FC"/>
    <w:rsid w:val="009748BB"/>
    <w:rsid w:val="009800E3"/>
    <w:rsid w:val="00982C2B"/>
    <w:rsid w:val="00997F4D"/>
    <w:rsid w:val="009A4B1B"/>
    <w:rsid w:val="009A7CA4"/>
    <w:rsid w:val="009C57B6"/>
    <w:rsid w:val="009C6991"/>
    <w:rsid w:val="009D10F3"/>
    <w:rsid w:val="009E0AAB"/>
    <w:rsid w:val="009E41C8"/>
    <w:rsid w:val="009F1262"/>
    <w:rsid w:val="009F2D13"/>
    <w:rsid w:val="00A03BB7"/>
    <w:rsid w:val="00A06ED3"/>
    <w:rsid w:val="00A16BF3"/>
    <w:rsid w:val="00A25C3D"/>
    <w:rsid w:val="00A35360"/>
    <w:rsid w:val="00A356A7"/>
    <w:rsid w:val="00A4117B"/>
    <w:rsid w:val="00A414E0"/>
    <w:rsid w:val="00A576E0"/>
    <w:rsid w:val="00A632C1"/>
    <w:rsid w:val="00A6770D"/>
    <w:rsid w:val="00A67FB7"/>
    <w:rsid w:val="00A723AD"/>
    <w:rsid w:val="00A80B39"/>
    <w:rsid w:val="00A9148E"/>
    <w:rsid w:val="00A95931"/>
    <w:rsid w:val="00AA53DD"/>
    <w:rsid w:val="00AA5F40"/>
    <w:rsid w:val="00AB425C"/>
    <w:rsid w:val="00AC09E0"/>
    <w:rsid w:val="00AD5B4D"/>
    <w:rsid w:val="00B01D3C"/>
    <w:rsid w:val="00B118E6"/>
    <w:rsid w:val="00B16B7E"/>
    <w:rsid w:val="00B20D86"/>
    <w:rsid w:val="00B25C75"/>
    <w:rsid w:val="00B308AE"/>
    <w:rsid w:val="00B40E97"/>
    <w:rsid w:val="00B4699A"/>
    <w:rsid w:val="00B46CB9"/>
    <w:rsid w:val="00B5786B"/>
    <w:rsid w:val="00B70EA3"/>
    <w:rsid w:val="00B73E4C"/>
    <w:rsid w:val="00B73F57"/>
    <w:rsid w:val="00B74B52"/>
    <w:rsid w:val="00B85C36"/>
    <w:rsid w:val="00B91B87"/>
    <w:rsid w:val="00B930E1"/>
    <w:rsid w:val="00B96623"/>
    <w:rsid w:val="00B96DF6"/>
    <w:rsid w:val="00BA0D00"/>
    <w:rsid w:val="00BC15FC"/>
    <w:rsid w:val="00BC466C"/>
    <w:rsid w:val="00BD3132"/>
    <w:rsid w:val="00BD7A6D"/>
    <w:rsid w:val="00BE11D1"/>
    <w:rsid w:val="00BE3380"/>
    <w:rsid w:val="00BE3B33"/>
    <w:rsid w:val="00BF167A"/>
    <w:rsid w:val="00BF2ACB"/>
    <w:rsid w:val="00BF3B18"/>
    <w:rsid w:val="00C02F59"/>
    <w:rsid w:val="00C0665F"/>
    <w:rsid w:val="00C06FEF"/>
    <w:rsid w:val="00C20B76"/>
    <w:rsid w:val="00C23034"/>
    <w:rsid w:val="00C237F0"/>
    <w:rsid w:val="00C23E2B"/>
    <w:rsid w:val="00C25276"/>
    <w:rsid w:val="00C54B2B"/>
    <w:rsid w:val="00C60C8C"/>
    <w:rsid w:val="00C66A75"/>
    <w:rsid w:val="00C71C58"/>
    <w:rsid w:val="00C779A0"/>
    <w:rsid w:val="00C82B68"/>
    <w:rsid w:val="00C87B78"/>
    <w:rsid w:val="00CA5218"/>
    <w:rsid w:val="00CA7579"/>
    <w:rsid w:val="00CB6D8D"/>
    <w:rsid w:val="00CC3426"/>
    <w:rsid w:val="00CD0304"/>
    <w:rsid w:val="00CD0EB1"/>
    <w:rsid w:val="00CD11FC"/>
    <w:rsid w:val="00CD4B5A"/>
    <w:rsid w:val="00CF0CE7"/>
    <w:rsid w:val="00D01BFA"/>
    <w:rsid w:val="00D02C9C"/>
    <w:rsid w:val="00D06088"/>
    <w:rsid w:val="00D0697F"/>
    <w:rsid w:val="00D104FA"/>
    <w:rsid w:val="00D20568"/>
    <w:rsid w:val="00D27A20"/>
    <w:rsid w:val="00D32588"/>
    <w:rsid w:val="00D333A2"/>
    <w:rsid w:val="00D3680C"/>
    <w:rsid w:val="00D4777C"/>
    <w:rsid w:val="00D50540"/>
    <w:rsid w:val="00D54BAD"/>
    <w:rsid w:val="00D66360"/>
    <w:rsid w:val="00D671AD"/>
    <w:rsid w:val="00D97843"/>
    <w:rsid w:val="00DA4CE9"/>
    <w:rsid w:val="00DA4CF5"/>
    <w:rsid w:val="00DB209E"/>
    <w:rsid w:val="00DB2EDD"/>
    <w:rsid w:val="00DB635D"/>
    <w:rsid w:val="00DC1730"/>
    <w:rsid w:val="00DC2EEE"/>
    <w:rsid w:val="00DC49C8"/>
    <w:rsid w:val="00DD105A"/>
    <w:rsid w:val="00DD329C"/>
    <w:rsid w:val="00DD3FF3"/>
    <w:rsid w:val="00DE15FE"/>
    <w:rsid w:val="00DE2473"/>
    <w:rsid w:val="00DE3BCE"/>
    <w:rsid w:val="00DF4D5A"/>
    <w:rsid w:val="00E01233"/>
    <w:rsid w:val="00E07596"/>
    <w:rsid w:val="00E10475"/>
    <w:rsid w:val="00E2061E"/>
    <w:rsid w:val="00E239F9"/>
    <w:rsid w:val="00E25379"/>
    <w:rsid w:val="00E25E80"/>
    <w:rsid w:val="00E275AA"/>
    <w:rsid w:val="00E31432"/>
    <w:rsid w:val="00E33763"/>
    <w:rsid w:val="00E34A03"/>
    <w:rsid w:val="00E4338C"/>
    <w:rsid w:val="00E4459F"/>
    <w:rsid w:val="00E502F0"/>
    <w:rsid w:val="00E50AFF"/>
    <w:rsid w:val="00E5520D"/>
    <w:rsid w:val="00E6390F"/>
    <w:rsid w:val="00E77405"/>
    <w:rsid w:val="00E80E44"/>
    <w:rsid w:val="00E83048"/>
    <w:rsid w:val="00E83276"/>
    <w:rsid w:val="00E848DA"/>
    <w:rsid w:val="00E857E5"/>
    <w:rsid w:val="00E94B16"/>
    <w:rsid w:val="00EA00D1"/>
    <w:rsid w:val="00EA1122"/>
    <w:rsid w:val="00EA143A"/>
    <w:rsid w:val="00EA3799"/>
    <w:rsid w:val="00EB0910"/>
    <w:rsid w:val="00EB20FD"/>
    <w:rsid w:val="00EB5B5E"/>
    <w:rsid w:val="00EB5DE8"/>
    <w:rsid w:val="00EB5E68"/>
    <w:rsid w:val="00EB6593"/>
    <w:rsid w:val="00EC7E9E"/>
    <w:rsid w:val="00ED33DF"/>
    <w:rsid w:val="00ED4E4E"/>
    <w:rsid w:val="00ED5E02"/>
    <w:rsid w:val="00EE3F4A"/>
    <w:rsid w:val="00EF06FE"/>
    <w:rsid w:val="00F0321F"/>
    <w:rsid w:val="00F11B94"/>
    <w:rsid w:val="00F176A8"/>
    <w:rsid w:val="00F22F2B"/>
    <w:rsid w:val="00F27303"/>
    <w:rsid w:val="00F3358A"/>
    <w:rsid w:val="00F35310"/>
    <w:rsid w:val="00F5038B"/>
    <w:rsid w:val="00F71626"/>
    <w:rsid w:val="00F876CA"/>
    <w:rsid w:val="00FA04F4"/>
    <w:rsid w:val="00FA2D46"/>
    <w:rsid w:val="00FA3985"/>
    <w:rsid w:val="00FD661C"/>
    <w:rsid w:val="00FD7FD8"/>
    <w:rsid w:val="00FE149A"/>
    <w:rsid w:val="00FE62C7"/>
    <w:rsid w:val="025336E7"/>
    <w:rsid w:val="02774D4D"/>
    <w:rsid w:val="03EA3911"/>
    <w:rsid w:val="04642FC1"/>
    <w:rsid w:val="04C252AC"/>
    <w:rsid w:val="0F801A5C"/>
    <w:rsid w:val="0F966F3A"/>
    <w:rsid w:val="1142062F"/>
    <w:rsid w:val="14363C36"/>
    <w:rsid w:val="14421451"/>
    <w:rsid w:val="156B2D22"/>
    <w:rsid w:val="171960E2"/>
    <w:rsid w:val="180B5ED7"/>
    <w:rsid w:val="195060A2"/>
    <w:rsid w:val="1B32328F"/>
    <w:rsid w:val="1B8B28F7"/>
    <w:rsid w:val="1D002652"/>
    <w:rsid w:val="1FB32662"/>
    <w:rsid w:val="20981476"/>
    <w:rsid w:val="24F22EA2"/>
    <w:rsid w:val="280E66AC"/>
    <w:rsid w:val="2A4363BB"/>
    <w:rsid w:val="2A9D39FB"/>
    <w:rsid w:val="2DA22669"/>
    <w:rsid w:val="2EB306F1"/>
    <w:rsid w:val="2F100E84"/>
    <w:rsid w:val="30D123EE"/>
    <w:rsid w:val="31F162F3"/>
    <w:rsid w:val="34FD0766"/>
    <w:rsid w:val="3A7C416D"/>
    <w:rsid w:val="3B7668E7"/>
    <w:rsid w:val="3B9521B5"/>
    <w:rsid w:val="3BF923E5"/>
    <w:rsid w:val="3C16359E"/>
    <w:rsid w:val="3E3828B2"/>
    <w:rsid w:val="3F5040BE"/>
    <w:rsid w:val="3F79603F"/>
    <w:rsid w:val="45A16BAD"/>
    <w:rsid w:val="460E5DE5"/>
    <w:rsid w:val="487A4E7B"/>
    <w:rsid w:val="498C3D99"/>
    <w:rsid w:val="49FB6E6C"/>
    <w:rsid w:val="4BAC6961"/>
    <w:rsid w:val="4BC17BE3"/>
    <w:rsid w:val="4C0A3F1B"/>
    <w:rsid w:val="4EA32F3D"/>
    <w:rsid w:val="4F5C78C1"/>
    <w:rsid w:val="50A63E8F"/>
    <w:rsid w:val="54615FF5"/>
    <w:rsid w:val="665F2F72"/>
    <w:rsid w:val="6B712159"/>
    <w:rsid w:val="6D226433"/>
    <w:rsid w:val="6E1163B7"/>
    <w:rsid w:val="6E5C7C1F"/>
    <w:rsid w:val="6EDC3EA0"/>
    <w:rsid w:val="6EF9210C"/>
    <w:rsid w:val="701C2D59"/>
    <w:rsid w:val="71736567"/>
    <w:rsid w:val="73B01CC6"/>
    <w:rsid w:val="75374CE1"/>
    <w:rsid w:val="75730926"/>
    <w:rsid w:val="75E077D6"/>
    <w:rsid w:val="76447548"/>
    <w:rsid w:val="77103FD4"/>
    <w:rsid w:val="7C5970FF"/>
    <w:rsid w:val="7EE30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7" w:lineRule="exact"/>
      <w:ind w:firstLine="200" w:firstLineChars="200"/>
      <w:jc w:val="both"/>
    </w:pPr>
    <w:rPr>
      <w:rFonts w:ascii="Times New Roman" w:hAnsi="Times New Roman" w:eastAsia="方正仿宋_GBK" w:cstheme="minorBidi"/>
      <w:kern w:val="2"/>
      <w:sz w:val="32"/>
      <w:szCs w:val="22"/>
      <w:lang w:val="en-US" w:eastAsia="zh-CN" w:bidi="ar-SA"/>
    </w:rPr>
  </w:style>
  <w:style w:type="paragraph" w:styleId="2">
    <w:name w:val="heading 1"/>
    <w:basedOn w:val="1"/>
    <w:next w:val="1"/>
    <w:link w:val="27"/>
    <w:qFormat/>
    <w:uiPriority w:val="9"/>
    <w:pPr>
      <w:keepNext/>
      <w:keepLines/>
      <w:spacing w:before="120" w:after="120"/>
      <w:ind w:firstLine="0" w:firstLineChars="0"/>
      <w:jc w:val="center"/>
      <w:outlineLvl w:val="0"/>
    </w:pPr>
    <w:rPr>
      <w:rFonts w:eastAsia="黑体"/>
      <w:bCs/>
      <w:kern w:val="44"/>
      <w:szCs w:val="44"/>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8"/>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29"/>
    <w:semiHidden/>
    <w:unhideWhenUsed/>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paragraph" w:customStyle="1" w:styleId="15">
    <w:name w:val="Default"/>
    <w:unhideWhenUsed/>
    <w:qFormat/>
    <w:uiPriority w:val="0"/>
    <w:pPr>
      <w:widowControl w:val="0"/>
      <w:autoSpaceDE w:val="0"/>
      <w:autoSpaceDN w:val="0"/>
      <w:adjustRightInd w:val="0"/>
    </w:pPr>
    <w:rPr>
      <w:rFonts w:ascii="??_GB2312??alt" w:hAnsi="Calibri" w:eastAsia="Times New Roman" w:cs="Times New Roman"/>
      <w:color w:val="000000"/>
      <w:sz w:val="24"/>
      <w:szCs w:val="24"/>
      <w:lang w:val="en-US" w:eastAsia="zh-CN" w:bidi="ar-SA"/>
    </w:rPr>
  </w:style>
  <w:style w:type="character" w:customStyle="1" w:styleId="16">
    <w:name w:val="批注框文本 Char"/>
    <w:basedOn w:val="11"/>
    <w:link w:val="5"/>
    <w:semiHidden/>
    <w:qFormat/>
    <w:uiPriority w:val="99"/>
    <w:rPr>
      <w:sz w:val="18"/>
      <w:szCs w:val="18"/>
    </w:rPr>
  </w:style>
  <w:style w:type="paragraph" w:customStyle="1" w:styleId="17">
    <w:name w:val="CM13"/>
    <w:basedOn w:val="15"/>
    <w:next w:val="15"/>
    <w:unhideWhenUsed/>
    <w:qFormat/>
    <w:uiPriority w:val="99"/>
    <w:pPr>
      <w:spacing w:after="293"/>
    </w:pPr>
  </w:style>
  <w:style w:type="paragraph" w:customStyle="1" w:styleId="18">
    <w:name w:val="CM1"/>
    <w:basedOn w:val="15"/>
    <w:next w:val="15"/>
    <w:unhideWhenUsed/>
    <w:qFormat/>
    <w:uiPriority w:val="99"/>
    <w:pPr>
      <w:spacing w:line="600" w:lineRule="atLeast"/>
    </w:pPr>
  </w:style>
  <w:style w:type="paragraph" w:customStyle="1" w:styleId="19">
    <w:name w:val="CM10"/>
    <w:basedOn w:val="15"/>
    <w:next w:val="15"/>
    <w:unhideWhenUsed/>
    <w:qFormat/>
    <w:uiPriority w:val="99"/>
    <w:pPr>
      <w:spacing w:line="600" w:lineRule="atLeast"/>
    </w:pPr>
  </w:style>
  <w:style w:type="paragraph" w:customStyle="1" w:styleId="20">
    <w:name w:val="CM4"/>
    <w:basedOn w:val="15"/>
    <w:next w:val="15"/>
    <w:unhideWhenUsed/>
    <w:qFormat/>
    <w:uiPriority w:val="99"/>
    <w:pPr>
      <w:spacing w:line="600" w:lineRule="atLeast"/>
    </w:pPr>
  </w:style>
  <w:style w:type="paragraph" w:customStyle="1" w:styleId="21">
    <w:name w:val="CM5"/>
    <w:basedOn w:val="15"/>
    <w:next w:val="15"/>
    <w:unhideWhenUsed/>
    <w:qFormat/>
    <w:uiPriority w:val="99"/>
    <w:pPr>
      <w:spacing w:line="600" w:lineRule="atLeast"/>
    </w:pPr>
  </w:style>
  <w:style w:type="paragraph" w:customStyle="1" w:styleId="22">
    <w:name w:val="CM7"/>
    <w:basedOn w:val="15"/>
    <w:next w:val="15"/>
    <w:unhideWhenUsed/>
    <w:qFormat/>
    <w:uiPriority w:val="99"/>
    <w:pPr>
      <w:spacing w:line="600" w:lineRule="atLeast"/>
    </w:pPr>
  </w:style>
  <w:style w:type="paragraph" w:customStyle="1" w:styleId="23">
    <w:name w:val="CM6"/>
    <w:basedOn w:val="15"/>
    <w:next w:val="15"/>
    <w:unhideWhenUsed/>
    <w:uiPriority w:val="99"/>
    <w:pPr>
      <w:spacing w:line="600" w:lineRule="atLeast"/>
    </w:pPr>
  </w:style>
  <w:style w:type="paragraph" w:customStyle="1" w:styleId="24">
    <w:name w:val="CM3"/>
    <w:basedOn w:val="15"/>
    <w:next w:val="15"/>
    <w:unhideWhenUsed/>
    <w:uiPriority w:val="99"/>
    <w:pPr>
      <w:spacing w:line="600" w:lineRule="atLeast"/>
    </w:pPr>
  </w:style>
  <w:style w:type="paragraph" w:customStyle="1" w:styleId="25">
    <w:name w:val="CM8"/>
    <w:basedOn w:val="15"/>
    <w:next w:val="15"/>
    <w:unhideWhenUsed/>
    <w:uiPriority w:val="99"/>
    <w:pPr>
      <w:spacing w:line="600" w:lineRule="atLeast"/>
    </w:pPr>
  </w:style>
  <w:style w:type="paragraph" w:customStyle="1" w:styleId="26">
    <w:name w:val="CM17"/>
    <w:basedOn w:val="15"/>
    <w:next w:val="15"/>
    <w:unhideWhenUsed/>
    <w:qFormat/>
    <w:uiPriority w:val="99"/>
    <w:pPr>
      <w:spacing w:after="215"/>
    </w:pPr>
  </w:style>
  <w:style w:type="character" w:customStyle="1" w:styleId="27">
    <w:name w:val="标题 1 Char"/>
    <w:basedOn w:val="11"/>
    <w:link w:val="2"/>
    <w:uiPriority w:val="9"/>
    <w:rPr>
      <w:rFonts w:eastAsia="黑体" w:cstheme="minorBidi"/>
      <w:bCs/>
      <w:kern w:val="44"/>
      <w:sz w:val="32"/>
      <w:szCs w:val="44"/>
    </w:rPr>
  </w:style>
  <w:style w:type="character" w:customStyle="1" w:styleId="28">
    <w:name w:val="批注文字 Char"/>
    <w:basedOn w:val="11"/>
    <w:link w:val="4"/>
    <w:semiHidden/>
    <w:uiPriority w:val="99"/>
    <w:rPr>
      <w:rFonts w:eastAsia="方正仿宋_GBK" w:cstheme="minorBidi"/>
      <w:kern w:val="2"/>
      <w:sz w:val="32"/>
      <w:szCs w:val="22"/>
    </w:rPr>
  </w:style>
  <w:style w:type="character" w:customStyle="1" w:styleId="29">
    <w:name w:val="批注主题 Char"/>
    <w:basedOn w:val="28"/>
    <w:link w:val="9"/>
    <w:semiHidden/>
    <w:uiPriority w:val="99"/>
    <w:rPr>
      <w:rFonts w:eastAsia="方正仿宋_GBK"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3652</Words>
  <Characters>164</Characters>
  <Lines>1</Lines>
  <Paragraphs>7</Paragraphs>
  <TotalTime>98</TotalTime>
  <ScaleCrop>false</ScaleCrop>
  <LinksUpToDate>false</LinksUpToDate>
  <CharactersWithSpaces>3809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2021-11-26T07:39:00Z</dcterms:created>
  <dc:creator>admin</dc:creator>
  <cp:lastModifiedBy>信仰</cp:lastModifiedBy>
  <cp:lastPrinted>2021-11-26T08:07:00Z</cp:lastPrinted>
  <dcterms:modified xsi:type="dcterms:W3CDTF">2022-01-10T09:02:32Z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1F34BDAAAC554BAD910891604164926E</vt:lpwstr>
  </property>
</Properties>
</file>