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00" w:lineRule="exact"/>
        <w:rPr>
          <w:rFonts w:eastAsia="方正小标宋简体"/>
          <w:sz w:val="28"/>
          <w:szCs w:val="28"/>
        </w:rPr>
      </w:pPr>
      <w:r>
        <w:rPr>
          <w:rFonts w:hint="eastAsia" w:ascii="黑体" w:hAnsi="黑体" w:eastAsia="黑体"/>
          <w:b/>
          <w:sz w:val="28"/>
          <w:szCs w:val="28"/>
        </w:rPr>
        <w:t>附件1</w:t>
      </w:r>
    </w:p>
    <w:p>
      <w:pPr>
        <w:adjustRightInd w:val="0"/>
        <w:snapToGrid w:val="0"/>
        <w:spacing w:afterLines="50" w:line="500" w:lineRule="exact"/>
        <w:jc w:val="center"/>
        <w:rPr>
          <w:rFonts w:eastAsia="方正小标宋简体"/>
          <w:sz w:val="44"/>
          <w:szCs w:val="44"/>
        </w:rPr>
      </w:pPr>
      <w:r>
        <w:rPr>
          <w:rFonts w:eastAsia="方正小标宋简体"/>
          <w:b/>
          <w:sz w:val="44"/>
          <w:szCs w:val="44"/>
        </w:rPr>
        <w:t>高</w:t>
      </w:r>
      <w:r>
        <w:rPr>
          <w:rFonts w:hint="eastAsia" w:eastAsia="方正小标宋简体"/>
          <w:b/>
          <w:sz w:val="44"/>
          <w:szCs w:val="44"/>
        </w:rPr>
        <w:t>等</w:t>
      </w:r>
      <w:r>
        <w:rPr>
          <w:rFonts w:eastAsia="方正小标宋简体"/>
          <w:b/>
          <w:sz w:val="44"/>
          <w:szCs w:val="44"/>
        </w:rPr>
        <w:t>学校实验室安全检查项目</w:t>
      </w:r>
      <w:r>
        <w:rPr>
          <w:rFonts w:hint="eastAsia" w:eastAsia="方正小标宋简体"/>
          <w:b/>
          <w:sz w:val="44"/>
          <w:szCs w:val="44"/>
        </w:rPr>
        <w:t>表</w:t>
      </w:r>
      <w:r>
        <w:rPr>
          <w:rFonts w:eastAsia="方正小标宋简体"/>
          <w:b/>
          <w:sz w:val="44"/>
          <w:szCs w:val="44"/>
        </w:rPr>
        <w:t>（20</w:t>
      </w:r>
      <w:r>
        <w:rPr>
          <w:rFonts w:hint="eastAsia" w:eastAsia="方正小标宋简体"/>
          <w:b/>
          <w:sz w:val="44"/>
          <w:szCs w:val="44"/>
        </w:rPr>
        <w:t>21</w:t>
      </w:r>
      <w:r>
        <w:rPr>
          <w:rFonts w:eastAsia="方正小标宋简体"/>
          <w:b/>
          <w:sz w:val="44"/>
          <w:szCs w:val="44"/>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pPr>
              <w:widowControl/>
              <w:spacing w:line="300" w:lineRule="exact"/>
              <w:rPr>
                <w:b/>
                <w:kern w:val="0"/>
                <w:szCs w:val="21"/>
              </w:rPr>
            </w:pPr>
            <w:r>
              <w:rPr>
                <w:rFonts w:hint="eastAsia"/>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w:t>
            </w:r>
          </w:p>
        </w:tc>
        <w:tc>
          <w:tcPr>
            <w:tcW w:w="3820" w:type="dxa"/>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1.1.2</w:t>
            </w:r>
          </w:p>
        </w:tc>
        <w:tc>
          <w:tcPr>
            <w:tcW w:w="3820" w:type="dxa"/>
            <w:tcMar>
              <w:left w:w="45" w:type="dxa"/>
              <w:right w:w="45" w:type="dxa"/>
            </w:tcMar>
            <w:vAlign w:val="center"/>
          </w:tcPr>
          <w:p>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/告知书</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档案或信息系统里有现任学校领导与院系主管签字盖章的安全责任书/告知书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1.2.3</w:t>
            </w:r>
          </w:p>
        </w:tc>
        <w:tc>
          <w:tcPr>
            <w:tcW w:w="3820" w:type="dxa"/>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1.3.1</w:t>
            </w:r>
          </w:p>
        </w:tc>
        <w:tc>
          <w:tcPr>
            <w:tcW w:w="3820" w:type="dxa"/>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pPr>
              <w:widowControl/>
              <w:spacing w:line="300" w:lineRule="exact"/>
              <w:rPr>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1.4.2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有实验室安全督查/协查队伍，可以由教师、实验技术人员，也可以利用有相关专业能力的社会力量</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有校级实验室安全管理细则</w:t>
            </w:r>
          </w:p>
        </w:tc>
        <w:tc>
          <w:tcPr>
            <w:tcW w:w="7374" w:type="dxa"/>
            <w:vMerge w:val="continue"/>
            <w:tcMar>
              <w:left w:w="45" w:type="dxa"/>
              <w:right w:w="45" w:type="dxa"/>
            </w:tcMar>
            <w:vAlign w:val="center"/>
          </w:tcPr>
          <w:p>
            <w:pPr>
              <w:spacing w:line="300" w:lineRule="exact"/>
              <w:rPr>
                <w:bCs/>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3.1.2</w:t>
            </w:r>
          </w:p>
        </w:tc>
        <w:tc>
          <w:tcPr>
            <w:tcW w:w="3820" w:type="dxa"/>
            <w:tcMar>
              <w:left w:w="45" w:type="dxa"/>
              <w:right w:w="45" w:type="dxa"/>
            </w:tcMar>
            <w:vAlign w:val="center"/>
          </w:tcPr>
          <w:p>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3.1.3</w:t>
            </w:r>
          </w:p>
        </w:tc>
        <w:tc>
          <w:tcPr>
            <w:tcW w:w="3820" w:type="dxa"/>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pP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pP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shd w:val="clear" w:color="auto" w:fill="FFFF00"/>
            <w:tcMar>
              <w:left w:w="45" w:type="dxa"/>
              <w:right w:w="45" w:type="dxa"/>
            </w:tcMar>
            <w:vAlign w:val="center"/>
          </w:tcPr>
          <w:p>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shd w:val="clear" w:color="auto" w:fill="FFFF00"/>
            <w:tcMar>
              <w:left w:w="45" w:type="dxa"/>
              <w:right w:w="45" w:type="dxa"/>
            </w:tcMar>
            <w:vAlign w:val="center"/>
          </w:tcPr>
          <w:p>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pPr>
              <w:spacing w:line="300" w:lineRule="exact"/>
              <w:jc w:val="left"/>
              <w:rPr>
                <w:kern w:val="0"/>
                <w:szCs w:val="21"/>
              </w:rPr>
            </w:pPr>
            <w:r>
              <w:rPr>
                <w:rFonts w:hint="eastAsia"/>
                <w:bCs/>
                <w:kern w:val="0"/>
                <w:szCs w:val="21"/>
              </w:rPr>
              <w:t>学校层面开展定期/不定期检查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每年不少于4次，并记录存档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每月不少于1次，并记录存档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pPr>
              <w:pStyle w:val="6"/>
              <w:rPr>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shd w:val="clear" w:color="auto" w:fill="FFFF00"/>
            <w:tcMar>
              <w:left w:w="45" w:type="dxa"/>
              <w:right w:w="45" w:type="dxa"/>
            </w:tcMar>
            <w:vAlign w:val="center"/>
          </w:tcPr>
          <w:p>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shd w:val="clear" w:color="auto" w:fill="FFFF00"/>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shd w:val="clear" w:fill="FFFF00"/>
              </w:rPr>
              <w:t>75</w:t>
            </w:r>
            <w:r>
              <w:rPr>
                <w:rFonts w:hint="eastAsia"/>
                <w:szCs w:val="21"/>
                <w:shd w:val="clear" w:fill="FFFF00"/>
              </w:rPr>
              <w:t>平方米以上实验室要有两个出入口；实验楼大走廊保证留有大于2米净宽的消防通道；实验室</w:t>
            </w:r>
            <w:r>
              <w:rPr>
                <w:szCs w:val="21"/>
                <w:shd w:val="clear" w:fill="FFFF00"/>
              </w:rPr>
              <w:t>操作区层高不低于</w:t>
            </w:r>
            <w:r>
              <w:rPr>
                <w:rFonts w:hint="eastAsia"/>
                <w:szCs w:val="21"/>
                <w:shd w:val="clear" w:fill="FFFF00"/>
              </w:rPr>
              <w:t>2米</w:t>
            </w:r>
            <w:r>
              <w:rPr>
                <w:rFonts w:hint="eastAsia"/>
                <w:szCs w:val="21"/>
              </w:rPr>
              <w:t>；理工农医类实验室内多人同时进行实验时，人均操作面积不小于2.5平方米</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5.1.3</w:t>
            </w:r>
          </w:p>
        </w:tc>
        <w:tc>
          <w:tcPr>
            <w:tcW w:w="3820" w:type="dxa"/>
            <w:shd w:val="clear" w:color="auto" w:fill="FFFF00"/>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shd w:val="clear" w:color="auto" w:fill="FFFF00"/>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5.1.4</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实验操作台应选用合格的防火、耐腐蚀材料；仪器设备安装符合建筑物承重载荷；</w:t>
            </w:r>
            <w:r>
              <w:rPr>
                <w:rFonts w:hint="eastAsia"/>
                <w:szCs w:val="21"/>
                <w:shd w:val="clear" w:fill="FFFF00"/>
              </w:rPr>
              <w:t>有可燃气体的实验室不设吊顶</w:t>
            </w:r>
            <w:r>
              <w:rPr>
                <w:rFonts w:hint="eastAsia"/>
                <w:szCs w:val="21"/>
              </w:rPr>
              <w:t>；</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5.1.6</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shd w:val="clear" w:color="auto" w:fill="FFFF00"/>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shd w:val="clear" w:color="auto" w:fill="FFFF00"/>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w:t>
            </w:r>
            <w:r>
              <w:rPr>
                <w:rFonts w:hint="eastAsia"/>
                <w:kern w:val="0"/>
                <w:szCs w:val="21"/>
                <w:shd w:val="clear" w:fill="FFFF00"/>
              </w:rPr>
              <w:t>不存放和烧煮食物、饮食</w:t>
            </w:r>
            <w:r>
              <w:rPr>
                <w:rFonts w:hint="eastAsia"/>
                <w:kern w:val="0"/>
                <w:szCs w:val="21"/>
              </w:rPr>
              <w:t>，禁止吸烟、不使用可燃性蚊香</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shd w:val="clear" w:color="auto" w:fill="FFFF00"/>
            <w:tcMar>
              <w:left w:w="45" w:type="dxa"/>
              <w:right w:w="45" w:type="dxa"/>
            </w:tcMar>
            <w:vAlign w:val="center"/>
          </w:tcPr>
          <w:p>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shd w:val="clear" w:color="auto" w:fill="FFFF0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烟感</w:t>
            </w:r>
            <w:r>
              <w:rPr>
                <w:rFonts w:ascii="宋体" w:hAnsi="宋体"/>
                <w:kern w:val="0"/>
                <w:szCs w:val="21"/>
              </w:rPr>
              <w:t>报警器、</w:t>
            </w:r>
            <w:r>
              <w:rPr>
                <w:rFonts w:hint="eastAsia" w:ascii="宋体" w:hAnsi="宋体"/>
                <w:kern w:val="0"/>
                <w:szCs w:val="21"/>
                <w:shd w:val="clear" w:fill="FFFF00"/>
              </w:rPr>
              <w:t>灭火器、灭火毯、消防沙</w:t>
            </w:r>
            <w:r>
              <w:rPr>
                <w:rFonts w:hint="eastAsia" w:ascii="宋体" w:hAnsi="宋体"/>
                <w:kern w:val="0"/>
                <w:szCs w:val="21"/>
              </w:rPr>
              <w:t>、消防喷淋等，应正常有效、</w:t>
            </w:r>
            <w:r>
              <w:rPr>
                <w:rFonts w:ascii="宋体" w:hAnsi="宋体"/>
                <w:kern w:val="0"/>
                <w:szCs w:val="21"/>
              </w:rPr>
              <w:t>方便取用</w:t>
            </w:r>
            <w:r>
              <w:rPr>
                <w:rFonts w:hint="eastAsia" w:ascii="宋体" w:hAnsi="宋体"/>
                <w:kern w:val="0"/>
                <w:szCs w:val="21"/>
              </w:rPr>
              <w:t>；</w:t>
            </w:r>
            <w:r>
              <w:rPr>
                <w:rFonts w:hint="eastAsia" w:ascii="宋体" w:hAnsi="宋体"/>
                <w:kern w:val="0"/>
                <w:szCs w:val="21"/>
                <w:shd w:val="clear" w:fill="FFFF00"/>
              </w:rPr>
              <w:t>灭火器种类配置正确</w:t>
            </w:r>
            <w:r>
              <w:rPr>
                <w:rFonts w:hint="eastAsia" w:ascii="宋体" w:hAnsi="宋体"/>
                <w:kern w:val="0"/>
                <w:szCs w:val="21"/>
              </w:rPr>
              <w:t>；灭火器在有效期内（压力指针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shd w:val="clear" w:fill="FFFF00"/>
              </w:rPr>
              <w:t>紧急逃生疏散路线通畅</w:t>
            </w:r>
          </w:p>
        </w:tc>
        <w:tc>
          <w:tcPr>
            <w:tcW w:w="7374" w:type="dxa"/>
            <w:tcMar>
              <w:left w:w="45" w:type="dxa"/>
              <w:right w:w="45" w:type="dxa"/>
            </w:tcMar>
            <w:vAlign w:val="center"/>
          </w:tcPr>
          <w:p>
            <w:pPr>
              <w:rPr>
                <w:rFonts w:ascii="宋体" w:hAnsi="宋体"/>
                <w:bCs/>
                <w:kern w:val="0"/>
                <w:szCs w:val="21"/>
              </w:rPr>
            </w:pPr>
            <w:r>
              <w:rPr>
                <w:rFonts w:hint="eastAsia" w:ascii="宋体" w:hAnsi="宋体"/>
                <w:kern w:val="0"/>
                <w:szCs w:val="21"/>
                <w:shd w:val="clear" w:fill="FFFF00"/>
              </w:rPr>
              <w:t>在显著位置张贴有紧急逃生疏散路线图，疏散路线图的逃生路线应有二条</w:t>
            </w:r>
            <w:r>
              <w:rPr>
                <w:rFonts w:hint="eastAsia" w:ascii="宋体" w:hAnsi="宋体"/>
                <w:kern w:val="0"/>
                <w:szCs w:val="21"/>
              </w:rPr>
              <w:t>（含）以上；路线与现场情况符合；主要逃生路径（室内、楼梯、通道和出口处）有足够的紧急照明灯，功能正常</w:t>
            </w:r>
            <w:r>
              <w:rPr>
                <w:rFonts w:hint="eastAsia" w:ascii="宋体" w:hAnsi="宋体"/>
                <w:kern w:val="0"/>
              </w:rPr>
              <w:t>，并设置有效标识指示逃生方向；</w:t>
            </w:r>
            <w:r>
              <w:rPr>
                <w:rFonts w:hint="eastAsia" w:ascii="宋体" w:hAnsi="宋体"/>
                <w:kern w:val="0"/>
                <w:szCs w:val="21"/>
              </w:rPr>
              <w:t>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6.2.1</w:t>
            </w:r>
          </w:p>
        </w:tc>
        <w:tc>
          <w:tcPr>
            <w:tcW w:w="3820" w:type="dxa"/>
            <w:shd w:val="clear" w:color="auto" w:fill="FFFF0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shd w:val="clear" w:color="auto" w:fill="FFFF0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有显著标识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shd w:val="clear" w:fill="FFFF00"/>
              </w:rPr>
              <w:t>应急喷淋装置水管总阀处常开状，喷</w:t>
            </w:r>
            <w:r>
              <w:rPr>
                <w:rFonts w:hint="eastAsia" w:ascii="宋体" w:hAnsi="宋体"/>
                <w:kern w:val="0"/>
                <w:szCs w:val="21"/>
                <w:shd w:val="clear" w:fill="FFFF00"/>
              </w:rPr>
              <w:t>淋</w:t>
            </w:r>
            <w:r>
              <w:rPr>
                <w:rFonts w:ascii="宋体" w:hAnsi="宋体"/>
                <w:kern w:val="0"/>
                <w:szCs w:val="21"/>
                <w:shd w:val="clear" w:fill="FFFF00"/>
              </w:rPr>
              <w:t>头下方无障碍物</w:t>
            </w:r>
            <w:r>
              <w:rPr>
                <w:rFonts w:hint="eastAsia" w:ascii="宋体" w:hAnsi="宋体"/>
                <w:kern w:val="0"/>
                <w:szCs w:val="21"/>
                <w:shd w:val="clear" w:fill="FFFF00"/>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6.2.3</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shd w:val="clear" w:fill="FFFF00"/>
              </w:rPr>
              <w:t>有检查记录（</w:t>
            </w:r>
            <w:r>
              <w:rPr>
                <w:rFonts w:hint="eastAsia" w:ascii="宋体" w:hAnsi="宋体"/>
                <w:kern w:val="0"/>
                <w:szCs w:val="21"/>
              </w:rPr>
              <w:t>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w:t>
            </w:r>
            <w:r>
              <w:rPr>
                <w:rFonts w:ascii="宋体" w:hAnsi="宋体"/>
                <w:kern w:val="0"/>
                <w:szCs w:val="21"/>
              </w:rPr>
              <w:t>0.30-0.75</w:t>
            </w:r>
            <w:r>
              <w:rPr>
                <w:rFonts w:hint="eastAsia" w:ascii="宋体" w:hAnsi="宋体"/>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通风柜配置合理、使用正常、操作合规</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根据需要在通风柜管路上安装有毒有害气体的吸附或处理装置（如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）；任何可能产生高浓度有害气体而导致个人曝露、或产生可燃、可爆炸气体或蒸汽而导致积聚的实验，都应在通风柜内进行；</w:t>
            </w:r>
            <w:r>
              <w:rPr>
                <w:rFonts w:hint="eastAsia" w:ascii="宋体" w:hAnsi="宋体"/>
                <w:kern w:val="0"/>
                <w:szCs w:val="21"/>
                <w:shd w:val="clear" w:fill="FFFF00"/>
              </w:rPr>
              <w:t>进行实验时，可调玻璃视窗开至据台面10</w:t>
            </w:r>
            <w:r>
              <w:rPr>
                <w:rFonts w:ascii="宋体" w:hAnsi="宋体"/>
                <w:kern w:val="0"/>
                <w:szCs w:val="21"/>
                <w:shd w:val="clear" w:fill="FFFF00"/>
              </w:rPr>
              <w:t>-</w:t>
            </w:r>
            <w:r>
              <w:rPr>
                <w:rFonts w:hint="eastAsia" w:ascii="宋体" w:hAnsi="宋体"/>
                <w:kern w:val="0"/>
                <w:szCs w:val="21"/>
                <w:shd w:val="clear" w:fill="FFFF00"/>
              </w:rPr>
              <w:t>15厘米</w:t>
            </w:r>
            <w:r>
              <w:rPr>
                <w:rFonts w:hint="eastAsia" w:ascii="宋体" w:hAnsi="宋体"/>
                <w:kern w:val="0"/>
                <w:szCs w:val="21"/>
              </w:rPr>
              <w:t>，保持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实验人员在通风柜进行实验时，避免将头伸入调节门内；不可将一次性手套或较轻的塑料袋等留在通风柜内，以免堵塞排风口；</w:t>
            </w:r>
            <w:r>
              <w:rPr>
                <w:rFonts w:hint="eastAsia" w:ascii="宋体" w:hAnsi="宋体"/>
                <w:kern w:val="0"/>
                <w:szCs w:val="21"/>
                <w:shd w:val="clear" w:fill="FFFF00"/>
              </w:rPr>
              <w:t>通风柜内放置</w:t>
            </w:r>
            <w:r>
              <w:rPr>
                <w:rFonts w:ascii="宋体" w:hAnsi="宋体"/>
                <w:kern w:val="0"/>
                <w:szCs w:val="21"/>
                <w:shd w:val="clear" w:fill="FFFF00"/>
              </w:rPr>
              <w:t>物品</w:t>
            </w:r>
            <w:r>
              <w:rPr>
                <w:rFonts w:hint="eastAsia" w:ascii="宋体" w:hAnsi="宋体"/>
                <w:kern w:val="0"/>
                <w:szCs w:val="21"/>
                <w:shd w:val="clear" w:fill="FFFF00"/>
              </w:rPr>
              <w:t>应距离调节门内侧15厘米左右，以免</w:t>
            </w:r>
            <w:r>
              <w:rPr>
                <w:rFonts w:ascii="宋体" w:hAnsi="宋体"/>
                <w:kern w:val="0"/>
                <w:szCs w:val="21"/>
                <w:shd w:val="clear" w:fill="FFFF00"/>
              </w:rPr>
              <w:t>掉落</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关注重点场所</w:t>
            </w:r>
            <w:r>
              <w:rPr>
                <w:rFonts w:ascii="宋体" w:hAnsi="宋体"/>
                <w:szCs w:val="21"/>
              </w:rPr>
              <w:t>，如</w:t>
            </w:r>
            <w:r>
              <w:rPr>
                <w:rFonts w:hint="eastAsia" w:ascii="宋体" w:hAnsi="宋体"/>
                <w:szCs w:val="21"/>
              </w:rPr>
              <w:t>剧毒品、病原微生物</w:t>
            </w:r>
            <w:r>
              <w:rPr>
                <w:rFonts w:ascii="宋体" w:hAnsi="宋体"/>
                <w:szCs w:val="21"/>
              </w:rPr>
              <w:t>、</w:t>
            </w:r>
            <w:r>
              <w:rPr>
                <w:rFonts w:hint="eastAsia" w:ascii="宋体" w:hAnsi="宋体"/>
                <w:szCs w:val="21"/>
              </w:rPr>
              <w:t>放射源存放点、</w:t>
            </w:r>
            <w:r>
              <w:rPr>
                <w:rFonts w:ascii="宋体" w:hAnsi="宋体"/>
                <w:szCs w:val="21"/>
              </w:rPr>
              <w:t>核材料</w:t>
            </w:r>
            <w:r>
              <w:rPr>
                <w:rFonts w:hint="eastAsia" w:ascii="宋体" w:hAnsi="宋体"/>
                <w:szCs w:val="21"/>
              </w:rPr>
              <w:t>等危险源的管理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6.5.1</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w:t>
            </w:r>
            <w:r>
              <w:rPr>
                <w:rFonts w:hint="eastAsia" w:ascii="宋体" w:hAnsi="宋体"/>
                <w:szCs w:val="21"/>
                <w:shd w:val="clear" w:fill="FFFF00"/>
              </w:rPr>
              <w:t>防爆灯等</w:t>
            </w:r>
            <w:r>
              <w:rPr>
                <w:rFonts w:hint="eastAsia" w:ascii="宋体" w:hAnsi="宋体"/>
                <w:szCs w:val="21"/>
              </w:rPr>
              <w:t>，安装必要</w:t>
            </w:r>
            <w:r>
              <w:rPr>
                <w:rFonts w:ascii="宋体" w:hAnsi="宋体"/>
                <w:szCs w:val="21"/>
              </w:rPr>
              <w:t>的</w:t>
            </w:r>
            <w:r>
              <w:rPr>
                <w:rFonts w:hint="eastAsia" w:ascii="宋体" w:hAnsi="宋体"/>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6.5.2</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shd w:val="clear" w:fill="FFFF00"/>
              </w:rPr>
              <w:t>不</w:t>
            </w:r>
            <w:r>
              <w:rPr>
                <w:rFonts w:hint="eastAsia"/>
                <w:kern w:val="0"/>
                <w:szCs w:val="21"/>
                <w:shd w:val="clear" w:fill="FFFF00"/>
              </w:rPr>
              <w:t>私自</w:t>
            </w:r>
            <w:r>
              <w:rPr>
                <w:kern w:val="0"/>
                <w:szCs w:val="21"/>
                <w:shd w:val="clear" w:fill="FFFF00"/>
              </w:rPr>
              <w:t>乱拉乱接电线</w:t>
            </w:r>
            <w:r>
              <w:rPr>
                <w:rFonts w:hint="eastAsia"/>
                <w:kern w:val="0"/>
                <w:szCs w:val="21"/>
                <w:shd w:val="clear" w:fill="FFFF00"/>
              </w:rPr>
              <w:t>电缆</w:t>
            </w:r>
            <w:r>
              <w:rPr>
                <w:kern w:val="0"/>
                <w:szCs w:val="21"/>
                <w:shd w:val="clear" w:fill="FFFF00"/>
              </w:rPr>
              <w:t>，不使用老化的线</w:t>
            </w:r>
            <w:r>
              <w:rPr>
                <w:rFonts w:hint="eastAsia"/>
                <w:kern w:val="0"/>
                <w:szCs w:val="21"/>
                <w:shd w:val="clear" w:fill="FFFF00"/>
              </w:rPr>
              <w:t>缆</w:t>
            </w:r>
            <w:r>
              <w:rPr>
                <w:kern w:val="0"/>
                <w:szCs w:val="21"/>
                <w:shd w:val="clear" w:fill="FFFF00"/>
              </w:rPr>
              <w:t>、花线和木质配电板</w:t>
            </w:r>
            <w:r>
              <w:rPr>
                <w:rFonts w:hint="eastAsia"/>
                <w:kern w:val="0"/>
                <w:szCs w:val="21"/>
                <w:shd w:val="clear" w:fill="FFFF00"/>
              </w:rPr>
              <w:t>；禁止多个接线板串接供电，接线板不宜直接置于地面</w:t>
            </w:r>
            <w:r>
              <w:rPr>
                <w:rFonts w:hint="eastAsia" w:ascii="宋体" w:hAnsi="宋体"/>
                <w:kern w:val="0"/>
                <w:shd w:val="clear" w:fill="FFFF0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kern w:val="0"/>
                <w:szCs w:val="21"/>
              </w:rPr>
              <w:t>8.2.1</w:t>
            </w:r>
          </w:p>
        </w:tc>
        <w:tc>
          <w:tcPr>
            <w:tcW w:w="3820" w:type="dxa"/>
            <w:shd w:val="clear" w:color="auto" w:fill="FFFF00"/>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shd w:val="clear" w:color="auto" w:fill="FFFF00"/>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shd w:val="clear" w:color="auto" w:fill="FFFF00"/>
            <w:tcMar>
              <w:left w:w="45" w:type="dxa"/>
              <w:right w:w="45" w:type="dxa"/>
            </w:tcMar>
            <w:vAlign w:val="center"/>
          </w:tcPr>
          <w:p>
            <w:pPr>
              <w:widowControl/>
              <w:spacing w:line="300" w:lineRule="exact"/>
              <w:rPr>
                <w:szCs w:val="21"/>
              </w:rPr>
            </w:pPr>
            <w:r>
              <w:rPr>
                <w:rFonts w:hint="eastAsia"/>
                <w:szCs w:val="21"/>
              </w:rPr>
              <w:t>化学品有专用存放空间并科学有序存放</w:t>
            </w:r>
          </w:p>
        </w:tc>
        <w:tc>
          <w:tcPr>
            <w:tcW w:w="7374" w:type="dxa"/>
            <w:shd w:val="clear" w:color="auto" w:fill="FFFF00"/>
            <w:tcMar>
              <w:left w:w="45" w:type="dxa"/>
              <w:right w:w="45" w:type="dxa"/>
            </w:tcMar>
            <w:vAlign w:val="center"/>
          </w:tcPr>
          <w:p>
            <w:pPr>
              <w:widowControl/>
              <w:jc w:val="left"/>
              <w:rPr>
                <w:bCs/>
                <w:kern w:val="0"/>
                <w:szCs w:val="21"/>
              </w:rPr>
            </w:pPr>
            <w:r>
              <w:rPr>
                <w:rFonts w:hint="eastAsia" w:ascii="宋体" w:hAnsi="宋体"/>
              </w:rPr>
              <w:t>储藏室、储藏</w:t>
            </w:r>
            <w:r>
              <w:rPr>
                <w:rFonts w:ascii="宋体" w:hAnsi="宋体"/>
              </w:rPr>
              <w:t>区</w:t>
            </w:r>
            <w:r>
              <w:rPr>
                <w:rFonts w:hint="eastAsia" w:ascii="宋体" w:hAnsi="宋体"/>
              </w:rPr>
              <w:t>、储存</w:t>
            </w:r>
            <w:r>
              <w:rPr>
                <w:rFonts w:ascii="宋体" w:hAnsi="宋体"/>
              </w:rPr>
              <w:t>柜</w:t>
            </w:r>
            <w:r>
              <w:rPr>
                <w:rFonts w:hint="eastAsia" w:ascii="宋体" w:hAnsi="宋体"/>
              </w:rPr>
              <w:t>等</w:t>
            </w:r>
            <w:r>
              <w:rPr>
                <w:rFonts w:hint="eastAsia" w:ascii="宋体" w:hAnsi="宋体"/>
                <w:bCs/>
                <w:kern w:val="0"/>
              </w:rPr>
              <w:t>应</w:t>
            </w:r>
            <w:r>
              <w:rPr>
                <w:rFonts w:ascii="宋体" w:hAnsi="宋体"/>
                <w:kern w:val="0"/>
              </w:rPr>
              <w:t>通风、隔热、避光、安全</w:t>
            </w:r>
            <w:r>
              <w:rPr>
                <w:rFonts w:hint="eastAsia" w:ascii="宋体" w:hAnsi="宋体"/>
                <w:kern w:val="0"/>
              </w:rPr>
              <w:t>；有</w:t>
            </w:r>
            <w:r>
              <w:rPr>
                <w:rFonts w:ascii="宋体" w:hAnsi="宋体"/>
                <w:kern w:val="0"/>
              </w:rPr>
              <w:t>机溶剂</w:t>
            </w:r>
            <w:r>
              <w:rPr>
                <w:rFonts w:hint="eastAsia" w:ascii="宋体" w:hAnsi="宋体"/>
                <w:kern w:val="0"/>
              </w:rPr>
              <w:t>储存</w:t>
            </w:r>
            <w:r>
              <w:rPr>
                <w:rFonts w:ascii="宋体" w:hAnsi="宋体"/>
                <w:kern w:val="0"/>
              </w:rPr>
              <w:t>区</w:t>
            </w:r>
            <w:r>
              <w:rPr>
                <w:rFonts w:hint="eastAsia" w:ascii="宋体" w:hAnsi="宋体"/>
                <w:kern w:val="0"/>
              </w:rPr>
              <w:t>应</w:t>
            </w:r>
            <w:r>
              <w:rPr>
                <w:rFonts w:ascii="宋体" w:hAnsi="宋体"/>
                <w:kern w:val="0"/>
              </w:rPr>
              <w:t>远离热源</w:t>
            </w:r>
            <w:r>
              <w:rPr>
                <w:rFonts w:hint="eastAsia" w:ascii="宋体" w:hAnsi="宋体"/>
                <w:kern w:val="0"/>
              </w:rPr>
              <w:t>和火源；</w:t>
            </w:r>
            <w:r>
              <w:rPr>
                <w:rFonts w:ascii="宋体" w:hAnsi="宋体"/>
                <w:kern w:val="0"/>
              </w:rPr>
              <w:t>易泄漏、</w:t>
            </w:r>
            <w:r>
              <w:rPr>
                <w:rFonts w:hint="eastAsia" w:ascii="宋体" w:hAnsi="宋体"/>
                <w:kern w:val="0"/>
              </w:rPr>
              <w:t>易</w:t>
            </w:r>
            <w:r>
              <w:rPr>
                <w:rFonts w:ascii="宋体" w:hAnsi="宋体"/>
                <w:kern w:val="0"/>
              </w:rPr>
              <w:t>挥发的试剂</w:t>
            </w:r>
            <w:r>
              <w:rPr>
                <w:rFonts w:hint="eastAsia" w:ascii="宋体" w:hAnsi="宋体"/>
                <w:kern w:val="0"/>
              </w:rPr>
              <w:t>保证</w:t>
            </w:r>
            <w:r>
              <w:rPr>
                <w:rFonts w:ascii="宋体" w:hAnsi="宋体"/>
                <w:kern w:val="0"/>
              </w:rPr>
              <w:t>充足的通风</w:t>
            </w:r>
            <w:r>
              <w:rPr>
                <w:rFonts w:hint="eastAsia" w:ascii="宋体" w:hAnsi="宋体"/>
                <w:kern w:val="0"/>
              </w:rPr>
              <w:t>；试剂柜</w:t>
            </w:r>
            <w:r>
              <w:rPr>
                <w:rFonts w:ascii="宋体" w:hAnsi="宋体"/>
                <w:kern w:val="0"/>
              </w:rPr>
              <w:t>中不能有电源插座</w:t>
            </w:r>
            <w:r>
              <w:rPr>
                <w:rFonts w:hint="eastAsia" w:ascii="宋体" w:hAnsi="宋体"/>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kern w:val="0"/>
                <w:szCs w:val="21"/>
              </w:rPr>
              <w:t>8.2.3</w:t>
            </w:r>
          </w:p>
        </w:tc>
        <w:tc>
          <w:tcPr>
            <w:tcW w:w="3820"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shd w:val="clear" w:color="auto" w:fill="FFFF00"/>
            <w:tcMar>
              <w:left w:w="45" w:type="dxa"/>
              <w:right w:w="45" w:type="dxa"/>
            </w:tcMar>
            <w:vAlign w:val="center"/>
          </w:tcPr>
          <w:p>
            <w:pPr>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rFonts w:hint="eastAsia" w:ascii="宋体" w:hAnsi="宋体"/>
                <w:kern w:val="0"/>
              </w:rPr>
              <w:t>（可</w:t>
            </w:r>
            <w:r>
              <w:rPr>
                <w:rFonts w:hint="eastAsia" w:ascii="宋体" w:hAnsi="宋体"/>
                <w:bCs/>
                <w:kern w:val="0"/>
              </w:rPr>
              <w:t>按</w:t>
            </w:r>
            <w:r>
              <w:rPr>
                <w:kern w:val="0"/>
              </w:rPr>
              <w:t>50</w:t>
            </w:r>
            <w:r>
              <w:rPr>
                <w:rFonts w:hint="eastAsia" w:ascii="宋体" w:hAnsi="宋体"/>
                <w:kern w:val="0"/>
              </w:rPr>
              <w:t>平方</w:t>
            </w:r>
            <w:r>
              <w:rPr>
                <w:rFonts w:ascii="宋体" w:hAnsi="宋体"/>
                <w:kern w:val="0"/>
              </w:rPr>
              <w:t>米</w:t>
            </w:r>
            <w:r>
              <w:rPr>
                <w:rFonts w:ascii="宋体" w:hAnsi="宋体"/>
                <w:bCs/>
                <w:kern w:val="0"/>
              </w:rPr>
              <w:t>为</w:t>
            </w:r>
            <w:r>
              <w:rPr>
                <w:rFonts w:hint="eastAsia" w:ascii="宋体" w:hAnsi="宋体"/>
                <w:kern w:val="0"/>
              </w:rPr>
              <w:t>标准，存</w:t>
            </w:r>
            <w:r>
              <w:rPr>
                <w:rFonts w:ascii="宋体" w:hAnsi="宋体"/>
                <w:kern w:val="0"/>
              </w:rPr>
              <w:t>放量</w:t>
            </w:r>
            <w:r>
              <w:rPr>
                <w:rFonts w:hint="eastAsia" w:ascii="宋体" w:hAnsi="宋体"/>
                <w:kern w:val="0"/>
              </w:rPr>
              <w:t>以</w:t>
            </w:r>
            <w:r>
              <w:rPr>
                <w:rFonts w:hint="eastAsia" w:ascii="宋体" w:hAnsi="宋体"/>
                <w:bCs/>
                <w:kern w:val="0"/>
              </w:rPr>
              <w:t>实验</w:t>
            </w:r>
            <w:r>
              <w:rPr>
                <w:rFonts w:ascii="宋体" w:hAnsi="宋体"/>
                <w:bCs/>
                <w:kern w:val="0"/>
              </w:rPr>
              <w:t>室</w:t>
            </w:r>
            <w:r>
              <w:rPr>
                <w:rFonts w:hint="eastAsia" w:ascii="宋体" w:hAnsi="宋体"/>
                <w:kern w:val="0"/>
              </w:rPr>
              <w:t>面积比</w:t>
            </w:r>
            <w:r>
              <w:rPr>
                <w:rFonts w:ascii="宋体" w:hAnsi="宋体"/>
                <w:kern w:val="0"/>
              </w:rPr>
              <w:t>考</w:t>
            </w:r>
            <w:r>
              <w:rPr>
                <w:rFonts w:hint="eastAsia" w:ascii="宋体" w:hAnsi="宋体"/>
                <w:kern w:val="0"/>
              </w:rPr>
              <w:t>察）；</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kern w:val="0"/>
                <w:szCs w:val="21"/>
              </w:rPr>
              <w:t>8.2.4</w:t>
            </w:r>
          </w:p>
        </w:tc>
        <w:tc>
          <w:tcPr>
            <w:tcW w:w="3820"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化学品标签应显著完整清晰</w:t>
            </w:r>
          </w:p>
        </w:tc>
        <w:tc>
          <w:tcPr>
            <w:tcW w:w="7374" w:type="dxa"/>
            <w:shd w:val="clear" w:color="auto" w:fill="FFFF00"/>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shd w:val="clear" w:color="auto" w:fill="FFFF00"/>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shd w:val="clear" w:color="auto" w:fill="FFFF00"/>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shd w:val="clear" w:color="auto" w:fill="FFFF00"/>
            <w:tcMar>
              <w:left w:w="45" w:type="dxa"/>
              <w:right w:w="45" w:type="dxa"/>
            </w:tcMar>
            <w:vAlign w:val="center"/>
          </w:tcPr>
          <w:p>
            <w:pPr>
              <w:spacing w:line="300" w:lineRule="exact"/>
              <w:jc w:val="left"/>
              <w:rPr>
                <w:b/>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.4.1</w:t>
            </w:r>
          </w:p>
        </w:tc>
        <w:tc>
          <w:tcPr>
            <w:tcW w:w="3820" w:type="dxa"/>
            <w:shd w:val="clear" w:color="auto" w:fill="FFFF00"/>
            <w:tcMar>
              <w:left w:w="45" w:type="dxa"/>
              <w:right w:w="45" w:type="dxa"/>
            </w:tcMar>
            <w:vAlign w:val="center"/>
          </w:tcPr>
          <w:p>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pPr>
              <w:widowControl/>
              <w:spacing w:line="300" w:lineRule="exact"/>
              <w:jc w:val="left"/>
              <w:rPr>
                <w:kern w:val="0"/>
                <w:szCs w:val="21"/>
              </w:rPr>
            </w:pPr>
          </w:p>
        </w:tc>
        <w:tc>
          <w:tcPr>
            <w:tcW w:w="7374" w:type="dxa"/>
            <w:shd w:val="clear" w:color="auto" w:fill="FFFF00"/>
            <w:tcMar>
              <w:left w:w="45" w:type="dxa"/>
              <w:right w:w="45" w:type="dxa"/>
            </w:tcMar>
            <w:vAlign w:val="center"/>
          </w:tcPr>
          <w:p>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.4.2</w:t>
            </w:r>
          </w:p>
        </w:tc>
        <w:tc>
          <w:tcPr>
            <w:tcW w:w="3820" w:type="dxa"/>
            <w:shd w:val="clear" w:color="auto" w:fill="FFFF00"/>
            <w:tcMar>
              <w:left w:w="45" w:type="dxa"/>
              <w:right w:w="45" w:type="dxa"/>
            </w:tcMar>
            <w:vAlign w:val="center"/>
          </w:tcPr>
          <w:p>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pPr>
              <w:widowControl/>
              <w:spacing w:line="300" w:lineRule="exact"/>
              <w:jc w:val="left"/>
              <w:rPr>
                <w:kern w:val="0"/>
                <w:szCs w:val="21"/>
              </w:rPr>
            </w:pPr>
          </w:p>
        </w:tc>
        <w:tc>
          <w:tcPr>
            <w:tcW w:w="7374" w:type="dxa"/>
            <w:shd w:val="clear" w:color="auto" w:fill="FFFF00"/>
            <w:tcMar>
              <w:left w:w="45" w:type="dxa"/>
              <w:right w:w="45" w:type="dxa"/>
            </w:tcMar>
            <w:vAlign w:val="center"/>
          </w:tcPr>
          <w:p>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.4.3</w:t>
            </w:r>
          </w:p>
        </w:tc>
        <w:tc>
          <w:tcPr>
            <w:tcW w:w="3820" w:type="dxa"/>
            <w:shd w:val="clear" w:color="auto" w:fill="FFFF00"/>
            <w:tcMar>
              <w:left w:w="45" w:type="dxa"/>
              <w:right w:w="45" w:type="dxa"/>
            </w:tcMar>
            <w:vAlign w:val="center"/>
          </w:tcPr>
          <w:p>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pPr>
              <w:widowControl/>
              <w:spacing w:line="300" w:lineRule="exact"/>
              <w:jc w:val="left"/>
              <w:rPr>
                <w:kern w:val="0"/>
                <w:szCs w:val="21"/>
              </w:rPr>
            </w:pPr>
          </w:p>
        </w:tc>
        <w:tc>
          <w:tcPr>
            <w:tcW w:w="7374" w:type="dxa"/>
            <w:shd w:val="clear" w:color="auto" w:fill="FFFF00"/>
            <w:tcMar>
              <w:left w:w="45" w:type="dxa"/>
              <w:right w:w="45" w:type="dxa"/>
            </w:tcMar>
            <w:vAlign w:val="center"/>
          </w:tcPr>
          <w:p>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.4.4</w:t>
            </w:r>
          </w:p>
        </w:tc>
        <w:tc>
          <w:tcPr>
            <w:tcW w:w="3820" w:type="dxa"/>
            <w:shd w:val="clear" w:color="auto" w:fill="FFFF00"/>
            <w:tcMar>
              <w:left w:w="45" w:type="dxa"/>
              <w:right w:w="45" w:type="dxa"/>
            </w:tcMar>
            <w:vAlign w:val="center"/>
          </w:tcPr>
          <w:p>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pPr>
              <w:widowControl/>
              <w:spacing w:line="300" w:lineRule="exact"/>
              <w:jc w:val="left"/>
              <w:rPr>
                <w:kern w:val="0"/>
                <w:szCs w:val="21"/>
              </w:rPr>
            </w:pPr>
          </w:p>
        </w:tc>
        <w:tc>
          <w:tcPr>
            <w:tcW w:w="7374"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设置专库或者专柜储存；专库应当设有防盗设施，专柜应当使用保险柜；第一类易制毒化学品、药品类易制毒化学品实现双人双锁管理，账册保存期限不少于2年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.4.5</w:t>
            </w:r>
          </w:p>
        </w:tc>
        <w:tc>
          <w:tcPr>
            <w:tcW w:w="3820" w:type="dxa"/>
            <w:shd w:val="clear" w:color="auto" w:fill="FFFF00"/>
            <w:tcMar>
              <w:left w:w="45" w:type="dxa"/>
              <w:right w:w="45" w:type="dxa"/>
            </w:tcMar>
            <w:vAlign w:val="center"/>
          </w:tcPr>
          <w:p>
            <w:pPr>
              <w:spacing w:line="300" w:lineRule="exact"/>
              <w:jc w:val="left"/>
              <w:rPr>
                <w:kern w:val="0"/>
                <w:szCs w:val="21"/>
              </w:rPr>
            </w:pPr>
            <w:r>
              <w:rPr>
                <w:rFonts w:hint="eastAsia"/>
                <w:kern w:val="0"/>
                <w:szCs w:val="21"/>
              </w:rPr>
              <w:t>爆炸品单独隔离、限量存储，使用、销毁按照公安部门要求执行</w:t>
            </w:r>
          </w:p>
        </w:tc>
        <w:tc>
          <w:tcPr>
            <w:tcW w:w="7374"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w:t>
            </w:r>
            <w:r>
              <w:rPr>
                <w:rFonts w:hint="eastAsia"/>
                <w:kern w:val="0"/>
                <w:szCs w:val="21"/>
              </w:rPr>
              <w:t>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shd w:val="clear" w:fill="FFFF00"/>
              </w:rPr>
              <w:t>气瓶应合理固定；</w:t>
            </w:r>
            <w:r>
              <w:rPr>
                <w:rFonts w:hint="eastAsia"/>
                <w:kern w:val="0"/>
                <w:szCs w:val="21"/>
              </w:rPr>
              <w:t>；</w:t>
            </w:r>
          </w:p>
          <w:p>
            <w:pPr>
              <w:rPr>
                <w:rFonts w:ascii="宋体" w:cs="宋体"/>
                <w:kern w:val="0"/>
                <w:szCs w:val="21"/>
              </w:rPr>
            </w:pPr>
            <w:r>
              <w:rPr>
                <w:rFonts w:hint="eastAsia" w:ascii="宋体" w:cs="宋体"/>
                <w:kern w:val="0"/>
                <w:szCs w:val="21"/>
              </w:rPr>
              <w:t>危险气体钢瓶尽量置于室外，室内放置应使用常时排风且带报警探头的气瓶柜；</w:t>
            </w:r>
          </w:p>
          <w:p>
            <w:pPr>
              <w:widowControl/>
              <w:jc w:val="left"/>
              <w:rPr>
                <w:bCs/>
                <w:kern w:val="0"/>
                <w:szCs w:val="21"/>
              </w:rPr>
            </w:pPr>
            <w:r>
              <w:rPr>
                <w:rFonts w:hint="eastAsia" w:ascii="宋体" w:cs="宋体"/>
                <w:kern w:val="0"/>
                <w:szCs w:val="21"/>
              </w:rPr>
              <w:t>气瓶的存放应控制在最小需求量；</w:t>
            </w:r>
            <w:r>
              <w:rPr>
                <w:rFonts w:ascii="宋体" w:hAnsi="宋体"/>
                <w:kern w:val="0"/>
                <w:shd w:val="clear" w:fill="FFFF00"/>
              </w:rPr>
              <w:t>涉及</w:t>
            </w:r>
            <w:r>
              <w:rPr>
                <w:rFonts w:hint="eastAsia" w:ascii="宋体" w:hAnsi="宋体"/>
                <w:kern w:val="0"/>
                <w:shd w:val="clear" w:fill="FFFF00"/>
              </w:rPr>
              <w:t>有</w:t>
            </w:r>
            <w:r>
              <w:rPr>
                <w:rFonts w:ascii="宋体" w:hAnsi="宋体"/>
                <w:kern w:val="0"/>
                <w:shd w:val="clear" w:fill="FFFF00"/>
              </w:rPr>
              <w:t>毒、</w:t>
            </w:r>
            <w:r>
              <w:rPr>
                <w:rFonts w:hint="eastAsia" w:ascii="宋体" w:hAnsi="宋体"/>
                <w:kern w:val="0"/>
                <w:shd w:val="clear" w:fill="FFFF00"/>
              </w:rPr>
              <w:t>可</w:t>
            </w:r>
            <w:r>
              <w:rPr>
                <w:rFonts w:ascii="宋体" w:hAnsi="宋体"/>
                <w:kern w:val="0"/>
                <w:shd w:val="clear" w:fill="FFFF00"/>
              </w:rPr>
              <w:t>燃气体的场所，配有通风设施和</w:t>
            </w:r>
            <w:r>
              <w:rPr>
                <w:rFonts w:hint="eastAsia" w:ascii="宋体" w:hAnsi="宋体"/>
                <w:kern w:val="0"/>
                <w:shd w:val="clear" w:fill="FFFF00"/>
              </w:rPr>
              <w:t>相应</w:t>
            </w:r>
            <w:r>
              <w:rPr>
                <w:rFonts w:ascii="宋体" w:hAnsi="宋体"/>
                <w:kern w:val="0"/>
                <w:shd w:val="clear" w:fill="FFFF00"/>
              </w:rPr>
              <w:t>的</w:t>
            </w:r>
            <w:r>
              <w:rPr>
                <w:rFonts w:hint="eastAsia" w:ascii="宋体" w:hAnsi="宋体"/>
                <w:kern w:val="0"/>
                <w:shd w:val="clear" w:fill="FFFF00"/>
              </w:rPr>
              <w:t>气体</w:t>
            </w:r>
            <w:r>
              <w:rPr>
                <w:rFonts w:ascii="宋体" w:hAnsi="宋体"/>
                <w:kern w:val="0"/>
                <w:shd w:val="clear" w:fill="FFFF00"/>
              </w:rPr>
              <w:t>监控</w:t>
            </w:r>
            <w:r>
              <w:rPr>
                <w:rFonts w:hint="eastAsia" w:ascii="宋体" w:hAnsi="宋体"/>
                <w:kern w:val="0"/>
                <w:shd w:val="clear" w:fill="FFFF00"/>
              </w:rPr>
              <w:t>和</w:t>
            </w:r>
            <w:r>
              <w:rPr>
                <w:rFonts w:ascii="宋体" w:hAnsi="宋体"/>
                <w:kern w:val="0"/>
                <w:shd w:val="clear" w:fill="FFFF00"/>
              </w:rPr>
              <w:t>报警装置等</w:t>
            </w:r>
            <w:r>
              <w:rPr>
                <w:rFonts w:hint="eastAsia" w:ascii="宋体" w:hAnsi="宋体"/>
                <w:kern w:val="0"/>
                <w:shd w:val="clear" w:fill="FFFF00"/>
              </w:rPr>
              <w:t>，</w:t>
            </w:r>
            <w:r>
              <w:rPr>
                <w:rFonts w:ascii="宋体" w:hAnsi="宋体"/>
                <w:kern w:val="0"/>
                <w:shd w:val="clear" w:fill="FFFF00"/>
              </w:rPr>
              <w:t>张贴必要的安全警示标识</w:t>
            </w:r>
            <w:r>
              <w:rPr>
                <w:rFonts w:hint="eastAsia" w:ascii="宋体" w:hAnsi="宋体"/>
                <w:kern w:val="0"/>
                <w:shd w:val="clear" w:fill="FFFF00"/>
              </w:rPr>
              <w:t>；</w:t>
            </w:r>
            <w:r>
              <w:rPr>
                <w:kern w:val="0"/>
                <w:szCs w:val="21"/>
                <w:shd w:val="clear" w:fill="FFFF00"/>
              </w:rPr>
              <w:t>可燃性气体与氧气等助燃气体不混放</w:t>
            </w:r>
            <w:r>
              <w:rPr>
                <w:rFonts w:hint="eastAsia"/>
                <w:kern w:val="0"/>
                <w:szCs w:val="21"/>
              </w:rPr>
              <w:t>；</w:t>
            </w:r>
            <w:r>
              <w:rPr>
                <w:rFonts w:hint="eastAsia" w:ascii="宋体" w:hAnsi="宋体"/>
                <w:kern w:val="0"/>
                <w:shd w:val="clear" w:fill="FFFF00"/>
              </w:rPr>
              <w:t>独立的气体钢</w:t>
            </w:r>
            <w:r>
              <w:rPr>
                <w:rFonts w:hint="eastAsia" w:ascii="宋体" w:hAnsi="宋体"/>
                <w:kern w:val="0"/>
              </w:rPr>
              <w:t>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bookmarkStart w:id="3" w:name="_GoBack" w:colFirst="0" w:colLast="1"/>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pPr>
              <w:rPr>
                <w:kern w:val="0"/>
                <w:szCs w:val="21"/>
              </w:rPr>
            </w:pPr>
            <w:r>
              <w:rPr>
                <w:rFonts w:hint="eastAsia" w:ascii="宋体" w:hAnsi="宋体"/>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pPr>
              <w:widowControl/>
              <w:spacing w:line="300" w:lineRule="exact"/>
              <w:jc w:val="left"/>
              <w:rPr>
                <w:bCs/>
                <w:kern w:val="0"/>
                <w:szCs w:val="21"/>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pPr>
              <w:widowControl/>
              <w:jc w:val="left"/>
              <w:rPr>
                <w:bCs/>
                <w:kern w:val="0"/>
                <w:szCs w:val="21"/>
              </w:rPr>
            </w:pPr>
            <w:r>
              <w:rPr>
                <w:rFonts w:hint="eastAsia"/>
                <w:kern w:val="0"/>
                <w:szCs w:val="21"/>
                <w:shd w:val="clear" w:fill="FFFF00"/>
              </w:rPr>
              <w:t>管路</w:t>
            </w:r>
            <w:r>
              <w:rPr>
                <w:kern w:val="0"/>
                <w:szCs w:val="21"/>
                <w:shd w:val="clear" w:fill="FFFF00"/>
              </w:rPr>
              <w:t>材质选择合适</w:t>
            </w:r>
            <w:r>
              <w:rPr>
                <w:rFonts w:hint="eastAsia"/>
                <w:kern w:val="0"/>
                <w:szCs w:val="21"/>
                <w:shd w:val="clear" w:fill="FFFF00"/>
              </w:rPr>
              <w:t>，</w:t>
            </w:r>
            <w:r>
              <w:rPr>
                <w:kern w:val="0"/>
                <w:szCs w:val="21"/>
                <w:shd w:val="clear" w:fill="FFFF00"/>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hint="eastAsia" w:ascii="宋体" w:hAnsi="宋体"/>
                <w:kern w:val="0"/>
              </w:rPr>
              <w:t>无过期钢瓶、</w:t>
            </w:r>
            <w:r>
              <w:rPr>
                <w:rFonts w:ascii="宋体" w:hAnsi="宋体"/>
                <w:kern w:val="0"/>
              </w:rPr>
              <w:t>未使用的钢瓶有</w:t>
            </w:r>
            <w:r>
              <w:rPr>
                <w:rFonts w:hint="eastAsia" w:ascii="宋体" w:hAnsi="宋体"/>
                <w:kern w:val="0"/>
              </w:rPr>
              <w:t>钢瓶帽；钢瓶气体合格证内容完整、正确，气瓶颜色符合</w:t>
            </w:r>
            <w:r>
              <w:rPr>
                <w:rFonts w:hint="eastAsia"/>
                <w:kern w:val="0"/>
              </w:rPr>
              <w:t xml:space="preserve">GB/T 7144 </w:t>
            </w:r>
            <w:r>
              <w:rPr>
                <w:rFonts w:hint="eastAsia" w:ascii="宋体" w:hAnsi="宋体"/>
                <w:kern w:val="0"/>
              </w:rPr>
              <w:t>的规定要求；</w:t>
            </w:r>
            <w:r>
              <w:rPr>
                <w:rFonts w:hint="eastAsia"/>
                <w:kern w:val="0"/>
                <w:szCs w:val="21"/>
                <w:shd w:val="clear" w:fill="FFFF00"/>
              </w:rPr>
              <w:t>确认“满、使用中、空瓶”三种状</w:t>
            </w:r>
            <w:r>
              <w:rPr>
                <w:rFonts w:hint="eastAsia"/>
                <w:kern w:val="0"/>
                <w:szCs w:val="21"/>
              </w:rPr>
              <w:t>态；</w:t>
            </w:r>
            <w:r>
              <w:rPr>
                <w:rFonts w:hint="eastAsia"/>
                <w:kern w:val="0"/>
                <w:szCs w:val="21"/>
                <w:shd w:val="clear" w:fill="FFFF00"/>
              </w:rPr>
              <w:t>使用完毕，及时关闭气瓶总阀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shd w:val="clear" w:color="auto" w:fill="FFFF00"/>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1</w:t>
            </w:r>
          </w:p>
        </w:tc>
        <w:tc>
          <w:tcPr>
            <w:tcW w:w="3820"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shd w:val="clear" w:color="auto" w:fill="FFFF00"/>
            <w:tcMar>
              <w:left w:w="45" w:type="dxa"/>
              <w:right w:w="45" w:type="dxa"/>
            </w:tcMar>
            <w:vAlign w:val="center"/>
          </w:tcPr>
          <w:p>
            <w:pPr>
              <w:widowControl/>
              <w:jc w:val="left"/>
              <w:rPr>
                <w:rFonts w:ascii="宋体" w:cs="宋体"/>
                <w:kern w:val="0"/>
                <w:szCs w:val="21"/>
              </w:rPr>
            </w:pPr>
            <w:r>
              <w:rPr>
                <w:rFonts w:hint="eastAsia" w:ascii="宋体" w:cs="宋体"/>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2</w:t>
            </w:r>
          </w:p>
        </w:tc>
        <w:tc>
          <w:tcPr>
            <w:tcW w:w="3820"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shd w:val="clear" w:color="auto" w:fill="FFFF00"/>
            <w:tcMar>
              <w:left w:w="45" w:type="dxa"/>
              <w:right w:w="45" w:type="dxa"/>
            </w:tcMar>
            <w:vAlign w:val="center"/>
          </w:tcPr>
          <w:p>
            <w:pPr>
              <w:widowControl/>
              <w:jc w:val="left"/>
              <w:rPr>
                <w:rFonts w:ascii="宋体" w:cs="宋体"/>
                <w:kern w:val="0"/>
                <w:szCs w:val="21"/>
              </w:rPr>
            </w:pPr>
            <w:r>
              <w:rPr>
                <w:rFonts w:hint="eastAsia" w:ascii="宋体" w:cs="宋体"/>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p>
        </w:tc>
        <w:tc>
          <w:tcPr>
            <w:tcW w:w="3820" w:type="dxa"/>
            <w:tcMar>
              <w:left w:w="45" w:type="dxa"/>
              <w:right w:w="45" w:type="dxa"/>
            </w:tcMar>
            <w:vAlign w:val="center"/>
          </w:tcPr>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不超过30平方米；</w:t>
            </w:r>
            <w:r>
              <w:rPr>
                <w:kern w:val="0"/>
                <w:szCs w:val="21"/>
              </w:rPr>
              <w:t>不混放、整箱试剂的叠加高度不大于1.5米；贮存站</w:t>
            </w:r>
            <w:r>
              <w:rPr>
                <w:rFonts w:hint="eastAsia"/>
                <w:kern w:val="0"/>
                <w:szCs w:val="21"/>
              </w:rPr>
              <w:t>不能在</w:t>
            </w:r>
            <w:r>
              <w:rPr>
                <w:kern w:val="0"/>
                <w:szCs w:val="21"/>
              </w:rPr>
              <w:t>地下室空间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shd w:val="clear" w:color="auto" w:fill="FFFF00"/>
            <w:tcMar>
              <w:left w:w="45" w:type="dxa"/>
              <w:right w:w="45" w:type="dxa"/>
            </w:tcMar>
            <w:vAlign w:val="center"/>
          </w:tcPr>
          <w:p>
            <w:pPr>
              <w:widowControl/>
              <w:jc w:val="left"/>
              <w:rPr>
                <w:bCs/>
                <w:kern w:val="0"/>
                <w:szCs w:val="21"/>
              </w:rPr>
            </w:pPr>
            <w:r>
              <w:rPr>
                <w:rFonts w:hint="eastAsia" w:ascii="宋体" w:hAnsi="宋体"/>
                <w:kern w:val="0"/>
              </w:rPr>
              <w:t>装有</w:t>
            </w:r>
            <w:r>
              <w:rPr>
                <w:rFonts w:ascii="宋体" w:hAnsi="宋体"/>
                <w:kern w:val="0"/>
              </w:rPr>
              <w:t>配</w:t>
            </w:r>
            <w:r>
              <w:rPr>
                <w:rFonts w:hint="eastAsia" w:ascii="宋体" w:hAnsi="宋体"/>
                <w:kern w:val="0"/>
              </w:rPr>
              <w:t>制</w:t>
            </w:r>
            <w:r>
              <w:rPr>
                <w:rFonts w:ascii="宋体" w:hAnsi="宋体"/>
                <w:kern w:val="0"/>
              </w:rPr>
              <w:t>试剂、合成品、样品等</w:t>
            </w:r>
            <w:r>
              <w:rPr>
                <w:rFonts w:hint="eastAsia" w:ascii="宋体" w:hAnsi="宋体"/>
                <w:kern w:val="0"/>
              </w:rPr>
              <w:t>的容器</w:t>
            </w:r>
            <w:r>
              <w:rPr>
                <w:rFonts w:ascii="宋体" w:hAnsi="宋体"/>
                <w:kern w:val="0"/>
              </w:rPr>
              <w:t>上标签信息明确</w:t>
            </w:r>
            <w:r>
              <w:rPr>
                <w:rFonts w:hint="eastAsia" w:ascii="宋体" w:hAnsi="宋体"/>
                <w:kern w:val="0"/>
              </w:rPr>
              <w:t>，标签</w:t>
            </w:r>
            <w:r>
              <w:rPr>
                <w:rFonts w:ascii="宋体" w:hAnsi="宋体"/>
                <w:kern w:val="0"/>
              </w:rPr>
              <w:t>信息包括名称</w:t>
            </w:r>
            <w:r>
              <w:rPr>
                <w:rFonts w:hint="eastAsia" w:ascii="宋体" w:hAnsi="宋体"/>
                <w:kern w:val="0"/>
              </w:rPr>
              <w:t>或编号</w:t>
            </w:r>
            <w:r>
              <w:rPr>
                <w:rFonts w:ascii="宋体" w:hAnsi="宋体"/>
                <w:kern w:val="0"/>
              </w:rPr>
              <w:t>、</w:t>
            </w:r>
            <w:r>
              <w:rPr>
                <w:rFonts w:hint="eastAsia" w:ascii="宋体" w:hAnsi="宋体"/>
                <w:kern w:val="0"/>
              </w:rPr>
              <w:t>使用</w:t>
            </w:r>
            <w:r>
              <w:rPr>
                <w:rFonts w:ascii="宋体" w:hAnsi="宋体"/>
                <w:kern w:val="0"/>
              </w:rPr>
              <w:t>人、日期等</w:t>
            </w:r>
            <w:r>
              <w:rPr>
                <w:rFonts w:hint="eastAsia" w:ascii="宋体" w:hAnsi="宋体"/>
                <w:kern w:val="0"/>
              </w:rPr>
              <w:t>；</w:t>
            </w:r>
            <w:r>
              <w:rPr>
                <w:rFonts w:ascii="宋体" w:hAnsi="宋体"/>
                <w:kern w:val="0"/>
              </w:rPr>
              <w:t>无使用饮料瓶存放试剂、样品的现象</w:t>
            </w:r>
            <w:r>
              <w:rPr>
                <w:rFonts w:hint="eastAsia" w:ascii="宋体" w:hAnsi="宋体"/>
                <w:kern w:val="0"/>
              </w:rPr>
              <w:t>，</w:t>
            </w:r>
            <w:r>
              <w:rPr>
                <w:rFonts w:ascii="宋体" w:hAnsi="宋体"/>
                <w:kern w:val="0"/>
              </w:rPr>
              <w:t>如确需</w:t>
            </w:r>
            <w:r>
              <w:rPr>
                <w:rFonts w:hint="eastAsia" w:ascii="宋体" w:hAnsi="宋体"/>
                <w:kern w:val="0"/>
              </w:rPr>
              <w:t>使用</w:t>
            </w:r>
            <w:r>
              <w:rPr>
                <w:rFonts w:ascii="宋体" w:hAnsi="宋体"/>
                <w:kern w:val="0"/>
              </w:rPr>
              <w:t>，必须撕去原包装纸，贴上</w:t>
            </w:r>
            <w:r>
              <w:rPr>
                <w:rFonts w:hint="eastAsia" w:ascii="宋体" w:hAnsi="宋体"/>
                <w:kern w:val="0"/>
              </w:rPr>
              <w:t>统一</w:t>
            </w:r>
            <w:r>
              <w:rPr>
                <w:rFonts w:ascii="宋体" w:hAnsi="宋体"/>
                <w:kern w:val="0"/>
              </w:rPr>
              <w:t>的</w:t>
            </w:r>
            <w:r>
              <w:rPr>
                <w:rFonts w:hint="eastAsia" w:ascii="宋体" w:hAnsi="宋体"/>
                <w:kern w:val="0"/>
              </w:rPr>
              <w:t>试剂</w:t>
            </w:r>
            <w:r>
              <w:rPr>
                <w:rFonts w:ascii="宋体" w:hAnsi="宋体"/>
                <w:kern w:val="0"/>
              </w:rPr>
              <w:t>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shd w:val="clear" w:color="auto" w:fill="FFFF00"/>
            <w:tcMar>
              <w:left w:w="45" w:type="dxa"/>
              <w:right w:w="45" w:type="dxa"/>
            </w:tcMar>
            <w:vAlign w:val="center"/>
          </w:tcPr>
          <w:p>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shd w:val="clear" w:color="auto" w:fill="FFFF00"/>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9.2.1</w:t>
            </w:r>
          </w:p>
        </w:tc>
        <w:tc>
          <w:tcPr>
            <w:tcW w:w="3820" w:type="dxa"/>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pPr>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hint="eastAsia" w:ascii="宋体" w:hAnsi="宋体"/>
                <w:kern w:val="0"/>
              </w:rPr>
              <w:t>；</w:t>
            </w:r>
            <w:r>
              <w:rPr>
                <w:kern w:val="0"/>
              </w:rPr>
              <w:t>BSL-3/ABSL-3</w:t>
            </w:r>
            <w:r>
              <w:rPr>
                <w:rFonts w:hint="eastAsia" w:ascii="宋体" w:hAnsi="宋体"/>
                <w:kern w:val="0"/>
              </w:rPr>
              <w:t>及以上安全等级实验室须</w:t>
            </w:r>
            <w:r>
              <w:rPr>
                <w:kern w:val="0"/>
                <w:szCs w:val="21"/>
              </w:rPr>
              <w:t>安装监控报警装置</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hint="eastAsia" w:ascii="宋体" w:hAnsi="宋体"/>
              </w:rPr>
              <w:t>相关实验以外的</w:t>
            </w:r>
            <w:r>
              <w:rPr>
                <w:szCs w:val="21"/>
              </w:rPr>
              <w:t>设施设备</w:t>
            </w:r>
          </w:p>
        </w:tc>
        <w:tc>
          <w:tcPr>
            <w:tcW w:w="2829" w:type="dxa"/>
            <w:tcMar>
              <w:left w:w="45" w:type="dxa"/>
              <w:right w:w="45" w:type="dxa"/>
            </w:tcMar>
            <w:vAlign w:val="center"/>
          </w:tcPr>
          <w:p>
            <w:pPr>
              <w:pStyle w:val="55"/>
              <w:spacing w:line="360" w:lineRule="auto"/>
              <w:ind w:firstLine="0" w:firstLineChars="0"/>
              <w:rPr>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hint="eastAsia" w:ascii="宋体" w:hAnsi="宋体"/>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hint="eastAsia" w:ascii="宋体" w:hAnsi="宋体"/>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辐射安全</w:t>
            </w:r>
            <w:r>
              <w:rPr>
                <w:rFonts w:hint="eastAsia"/>
                <w:b/>
                <w:kern w:val="0"/>
                <w:szCs w:val="21"/>
              </w:rPr>
              <w:t>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10.1.1</w:t>
            </w:r>
          </w:p>
        </w:tc>
        <w:tc>
          <w:tcPr>
            <w:tcW w:w="3820" w:type="dxa"/>
            <w:tcMar>
              <w:left w:w="45" w:type="dxa"/>
              <w:right w:w="45" w:type="dxa"/>
            </w:tcMar>
            <w:vAlign w:val="center"/>
          </w:tcPr>
          <w:p>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0" w:name="_Hlk67117721"/>
            <w:r>
              <w:rPr>
                <w:rFonts w:hint="eastAsia"/>
                <w:kern w:val="0"/>
                <w:szCs w:val="21"/>
              </w:rPr>
              <w:t>或者《生态环境部辐射安全与防护考核通过报告单</w:t>
            </w:r>
            <w:bookmarkEnd w:id="0"/>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r>
              <w:rPr>
                <w:rFonts w:hint="eastAsia"/>
                <w:kern w:val="0"/>
                <w:szCs w:val="21"/>
              </w:rPr>
              <w:t>；</w:t>
            </w:r>
            <w:bookmarkStart w:id="1" w:name="_Hlk67119357"/>
            <w:r>
              <w:rPr>
                <w:rFonts w:hint="eastAsia"/>
                <w:kern w:val="0"/>
                <w:szCs w:val="21"/>
              </w:rPr>
              <w:t>查看辐射事故应急预案</w:t>
            </w:r>
            <w:bookmarkEnd w:id="1"/>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pPr>
              <w:widowControl/>
              <w:spacing w:line="300" w:lineRule="exact"/>
              <w:jc w:val="left"/>
              <w:rPr>
                <w:kern w:val="0"/>
                <w:szCs w:val="21"/>
              </w:rPr>
            </w:pPr>
            <w:bookmarkStart w:id="2" w:name="_Hlk67118907"/>
            <w:r>
              <w:rPr>
                <w:rFonts w:hint="eastAsia"/>
                <w:kern w:val="0"/>
                <w:szCs w:val="21"/>
              </w:rPr>
              <w:t>相关实验室应当配置专门的放射性废物收集桶；放射性废液送贮前应进行固化整备；放射性废物应及时送交城市放废库收贮</w:t>
            </w:r>
            <w:bookmarkEnd w:id="2"/>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shd w:val="clear" w:color="auto" w:fill="FFFF00"/>
            <w:tcMar>
              <w:left w:w="45" w:type="dxa"/>
              <w:right w:w="45" w:type="dxa"/>
            </w:tcMar>
            <w:vAlign w:val="center"/>
          </w:tcPr>
          <w:p>
            <w:pPr>
              <w:widowControl/>
              <w:spacing w:line="300" w:lineRule="exact"/>
              <w:jc w:val="left"/>
              <w:rPr>
                <w:kern w:val="0"/>
                <w:szCs w:val="21"/>
              </w:rPr>
            </w:pPr>
            <w:r>
              <w:rPr>
                <w:kern w:val="0"/>
                <w:szCs w:val="21"/>
                <w:shd w:val="clear" w:fill="FFFF00"/>
              </w:rPr>
              <w:t>建立设备台</w:t>
            </w:r>
            <w:r>
              <w:rPr>
                <w:rFonts w:hint="eastAsia"/>
                <w:kern w:val="0"/>
                <w:szCs w:val="21"/>
                <w:shd w:val="clear" w:fill="FFFF00"/>
              </w:rPr>
              <w:t>账，设备</w:t>
            </w:r>
            <w:r>
              <w:rPr>
                <w:kern w:val="0"/>
                <w:szCs w:val="21"/>
                <w:shd w:val="clear" w:fill="FFFF00"/>
              </w:rPr>
              <w:t>上有</w:t>
            </w:r>
            <w:r>
              <w:rPr>
                <w:rFonts w:hint="eastAsia"/>
                <w:kern w:val="0"/>
                <w:szCs w:val="21"/>
                <w:shd w:val="clear" w:fill="FFFF00"/>
              </w:rPr>
              <w:t>资产</w:t>
            </w:r>
            <w:r>
              <w:rPr>
                <w:kern w:val="0"/>
                <w:szCs w:val="21"/>
                <w:shd w:val="clear" w:fill="FFFF00"/>
              </w:rPr>
              <w:t>标签，</w:t>
            </w:r>
            <w:r>
              <w:rPr>
                <w:rFonts w:hint="eastAsia"/>
                <w:kern w:val="0"/>
                <w:szCs w:val="21"/>
                <w:shd w:val="clear" w:fill="FFFF00"/>
              </w:rPr>
              <w:t>有</w:t>
            </w:r>
            <w:r>
              <w:rPr>
                <w:kern w:val="0"/>
                <w:szCs w:val="21"/>
                <w:shd w:val="clear" w:fill="FFFF00"/>
              </w:rPr>
              <w:t>明确的管理人员</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11.1.4</w:t>
            </w:r>
          </w:p>
        </w:tc>
        <w:tc>
          <w:tcPr>
            <w:tcW w:w="3820" w:type="dxa"/>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shd w:val="clear" w:fill="FFFF00"/>
              </w:rPr>
              <w:t>特别关注</w:t>
            </w:r>
            <w:r>
              <w:rPr>
                <w:kern w:val="0"/>
                <w:szCs w:val="21"/>
                <w:shd w:val="clear" w:fill="FFFF00"/>
              </w:rPr>
              <w:t>高温、高压、高速运动、电磁辐射等特殊设备，对使用者有培训要求，有安全警示标识和</w:t>
            </w:r>
            <w:r>
              <w:rPr>
                <w:szCs w:val="21"/>
                <w:shd w:val="clear" w:fill="FFFF00"/>
              </w:rPr>
              <w:t>安全警示线（黄色）</w:t>
            </w:r>
            <w:r>
              <w:rPr>
                <w:rFonts w:hint="eastAsia"/>
                <w:szCs w:val="21"/>
                <w:shd w:val="clear" w:fill="FFFF00"/>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pPr>
              <w:rPr>
                <w:kern w:val="0"/>
                <w:szCs w:val="21"/>
              </w:rPr>
            </w:pPr>
            <w:r>
              <w:rPr>
                <w:rFonts w:hint="eastAsia" w:ascii="宋体" w:hAnsi="宋体"/>
                <w:kern w:val="0"/>
              </w:rPr>
              <w:t>个人</w:t>
            </w:r>
            <w:r>
              <w:rPr>
                <w:rFonts w:ascii="宋体" w:hAnsi="宋体"/>
                <w:kern w:val="0"/>
              </w:rPr>
              <w:t>防护用品要穿戴齐全，如工作服、</w:t>
            </w:r>
            <w:r>
              <w:rPr>
                <w:rFonts w:hint="eastAsia" w:ascii="宋体" w:hAnsi="宋体"/>
                <w:kern w:val="0"/>
              </w:rPr>
              <w:t>工作帽</w:t>
            </w:r>
            <w:r>
              <w:rPr>
                <w:rFonts w:ascii="宋体" w:hAnsi="宋体"/>
                <w:kern w:val="0"/>
              </w:rPr>
              <w:t>、工作鞋、防护眼镜等</w:t>
            </w:r>
            <w:r>
              <w:rPr>
                <w:rFonts w:hint="eastAsia" w:ascii="宋体" w:hAnsi="宋体"/>
                <w:kern w:val="0"/>
              </w:rPr>
              <w:t>；</w:t>
            </w:r>
            <w:r>
              <w:rPr>
                <w:rFonts w:ascii="宋体" w:hAnsi="宋体"/>
                <w:kern w:val="0"/>
              </w:rPr>
              <w:t>操作</w:t>
            </w:r>
            <w:r>
              <w:rPr>
                <w:rFonts w:hint="eastAsia" w:ascii="宋体" w:hAnsi="宋体"/>
                <w:kern w:val="0"/>
              </w:rPr>
              <w:t>冷加工</w:t>
            </w:r>
            <w:r>
              <w:rPr>
                <w:rFonts w:ascii="宋体" w:hAnsi="宋体"/>
                <w:kern w:val="0"/>
              </w:rPr>
              <w:t>设备必须穿</w:t>
            </w:r>
            <w:r>
              <w:rPr>
                <w:kern w:val="0"/>
              </w:rPr>
              <w:t>“</w:t>
            </w:r>
            <w:r>
              <w:rPr>
                <w:rFonts w:hint="eastAsia" w:ascii="宋体" w:hAnsi="宋体"/>
                <w:kern w:val="0"/>
              </w:rPr>
              <w:t>三紧式</w:t>
            </w:r>
            <w:r>
              <w:rPr>
                <w:kern w:val="0"/>
              </w:rPr>
              <w:t>”</w:t>
            </w:r>
            <w:r>
              <w:rPr>
                <w:rFonts w:hint="eastAsia" w:ascii="宋体" w:hAnsi="宋体"/>
                <w:kern w:val="0"/>
              </w:rPr>
              <w:t>工作服</w:t>
            </w:r>
            <w:r>
              <w:rPr>
                <w:rFonts w:ascii="宋体" w:hAnsi="宋体"/>
                <w:kern w:val="0"/>
              </w:rPr>
              <w:t>，不能留长发（</w:t>
            </w:r>
            <w:r>
              <w:rPr>
                <w:rFonts w:hint="eastAsia" w:ascii="宋体" w:hAnsi="宋体"/>
                <w:kern w:val="0"/>
              </w:rPr>
              <w:t>长发</w:t>
            </w:r>
            <w:r>
              <w:rPr>
                <w:rFonts w:ascii="宋体" w:hAnsi="宋体"/>
                <w:kern w:val="0"/>
              </w:rPr>
              <w:t>要盘在工作帽内）</w:t>
            </w:r>
            <w:r>
              <w:rPr>
                <w:rFonts w:hint="eastAsia" w:ascii="宋体" w:hAnsi="宋体"/>
                <w:kern w:val="0"/>
              </w:rPr>
              <w:t>，</w:t>
            </w:r>
            <w:r>
              <w:rPr>
                <w:rFonts w:ascii="宋体" w:hAnsi="宋体"/>
                <w:kern w:val="0"/>
              </w:rPr>
              <w:t>禁止戴手套</w:t>
            </w:r>
            <w:r>
              <w:rPr>
                <w:rFonts w:hint="eastAsia" w:ascii="宋体" w:hAnsi="宋体"/>
                <w:kern w:val="0"/>
              </w:rPr>
              <w:t>；</w:t>
            </w:r>
            <w:r>
              <w:rPr>
                <w:rFonts w:hint="eastAsia"/>
                <w:kern w:val="0"/>
                <w:szCs w:val="21"/>
              </w:rPr>
              <w:t>进入高速切削机械操作工作场所，穿好工作服，戴好防护眼镜，扣紧衣袖口，长发学生</w:t>
            </w:r>
            <w:r>
              <w:rPr>
                <w:rFonts w:hint="eastAsia" w:ascii="宋体" w:hAnsi="宋体"/>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szCs w:val="21"/>
              </w:rPr>
            </w:pPr>
            <w:r>
              <w:rPr>
                <w:rFonts w:hint="eastAsia"/>
                <w:kern w:val="0"/>
                <w:szCs w:val="21"/>
              </w:rPr>
              <w:t>11.2.4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pPr>
              <w:rPr>
                <w:kern w:val="0"/>
                <w:szCs w:val="21"/>
              </w:rPr>
            </w:pPr>
            <w:r>
              <w:rPr>
                <w:rFonts w:hint="eastAsia" w:ascii="宋体" w:hAnsi="宋体"/>
                <w:kern w:val="0"/>
              </w:rPr>
              <w:t>粉尘爆炸危险场所，</w:t>
            </w:r>
            <w:r>
              <w:rPr>
                <w:rFonts w:hint="eastAsia"/>
                <w:kern w:val="0"/>
                <w:szCs w:val="21"/>
              </w:rPr>
              <w:t>应选用防爆型的电气设备</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pPr>
              <w:rPr>
                <w:bCs/>
                <w:kern w:val="0"/>
                <w:szCs w:val="21"/>
              </w:rPr>
            </w:pPr>
            <w:r>
              <w:rPr>
                <w:rFonts w:hint="eastAsia" w:ascii="宋体" w:hAnsi="宋体"/>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shd w:val="clear" w:color="auto" w:fill="FFFF00"/>
            <w:tcMar>
              <w:left w:w="45" w:type="dxa"/>
              <w:right w:w="45" w:type="dxa"/>
            </w:tcMar>
            <w:vAlign w:val="center"/>
          </w:tcPr>
          <w:p>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hint="eastAsia" w:ascii="宋体" w:hAnsi="宋体"/>
                <w:kern w:val="0"/>
              </w:rPr>
              <w:t>《特种设备</w:t>
            </w:r>
            <w:r>
              <w:rPr>
                <w:rFonts w:ascii="宋体" w:hAnsi="宋体"/>
                <w:kern w:val="0"/>
              </w:rPr>
              <w:t>使用登记表</w:t>
            </w:r>
            <w:r>
              <w:rPr>
                <w:rFonts w:hint="eastAsia" w:ascii="宋体" w:hAnsi="宋体"/>
                <w:kern w:val="0"/>
              </w:rPr>
              <w:t>》</w:t>
            </w:r>
          </w:p>
        </w:tc>
        <w:tc>
          <w:tcPr>
            <w:tcW w:w="7374" w:type="dxa"/>
            <w:tcMar>
              <w:left w:w="45" w:type="dxa"/>
              <w:right w:w="45" w:type="dxa"/>
            </w:tcMar>
            <w:vAlign w:val="center"/>
          </w:tcPr>
          <w:p>
            <w:pPr>
              <w:rPr>
                <w:kern w:val="0"/>
                <w:szCs w:val="21"/>
              </w:rPr>
            </w:pPr>
            <w:r>
              <w:rPr>
                <w:rFonts w:hint="eastAsia"/>
                <w:kern w:val="0"/>
                <w:szCs w:val="21"/>
              </w:rPr>
              <w:t>压力大</w:t>
            </w:r>
            <w:r>
              <w:rPr>
                <w:kern w:val="0"/>
                <w:szCs w:val="21"/>
              </w:rPr>
              <w:t>于</w:t>
            </w:r>
            <w:r>
              <w:rPr>
                <w:rFonts w:hint="eastAsia"/>
                <w:kern w:val="0"/>
                <w:szCs w:val="21"/>
              </w:rPr>
              <w:t>等于0.1兆帕且</w:t>
            </w:r>
            <w:r>
              <w:rPr>
                <w:kern w:val="0"/>
                <w:szCs w:val="21"/>
              </w:rPr>
              <w:t>容积大于</w:t>
            </w:r>
            <w:r>
              <w:rPr>
                <w:rFonts w:hint="eastAsia"/>
                <w:kern w:val="0"/>
                <w:szCs w:val="21"/>
              </w:rPr>
              <w:t>等于30升的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hint="eastAsia" w:ascii="宋体" w:hAnsi="宋体"/>
                <w:kern w:val="0"/>
              </w:rPr>
              <w:t>《特种设备</w:t>
            </w:r>
            <w:r>
              <w:rPr>
                <w:rFonts w:ascii="宋体" w:hAnsi="宋体"/>
                <w:kern w:val="0"/>
              </w:rPr>
              <w:t>使用登记表</w:t>
            </w:r>
            <w:r>
              <w:rPr>
                <w:rFonts w:hint="eastAsia" w:ascii="宋体" w:hAnsi="宋体"/>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widowControl/>
              <w:jc w:val="left"/>
              <w:rPr>
                <w:kern w:val="0"/>
                <w:szCs w:val="21"/>
              </w:rPr>
            </w:pPr>
            <w:r>
              <w:rPr>
                <w:rFonts w:hint="eastAsia" w:ascii="宋体" w:hAnsi="宋体"/>
                <w:kern w:val="0"/>
              </w:rPr>
              <w:t>快开门式压力容器操作人员、</w:t>
            </w:r>
            <w:r>
              <w:rPr>
                <w:rFonts w:ascii="宋体" w:hAnsi="宋体"/>
                <w:kern w:val="0"/>
              </w:rPr>
              <w:t>移动式压力容器充装</w:t>
            </w:r>
            <w:r>
              <w:rPr>
                <w:rFonts w:hint="eastAsia" w:ascii="宋体" w:hAnsi="宋体"/>
                <w:kern w:val="0"/>
              </w:rPr>
              <w:t>人员</w:t>
            </w:r>
            <w:r>
              <w:rPr>
                <w:rFonts w:ascii="宋体" w:hAnsi="宋体"/>
                <w:kern w:val="0"/>
              </w:rPr>
              <w:t>、氧舱维护保养</w:t>
            </w:r>
            <w:r>
              <w:rPr>
                <w:rFonts w:hint="eastAsia" w:ascii="宋体" w:hAnsi="宋体"/>
                <w:kern w:val="0"/>
              </w:rPr>
              <w:t>人员，</w:t>
            </w:r>
            <w:r>
              <w:rPr>
                <w:kern w:val="0"/>
                <w:szCs w:val="21"/>
              </w:rPr>
              <w:t>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shd w:val="clear" w:color="auto" w:fill="FFFF00"/>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shd w:val="clear" w:color="auto" w:fill="FFFF00"/>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shd w:val="clear" w:color="auto" w:fill="FFFF00"/>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shd w:val="clear" w:color="auto" w:fill="FFFF00"/>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shd w:val="clear" w:color="auto" w:fill="FFFF00"/>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shd w:val="clear" w:color="auto" w:fill="FFFF00"/>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shd w:val="clear" w:color="auto" w:fill="FFFF00"/>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kern w:val="0"/>
                <w:szCs w:val="21"/>
              </w:rPr>
            </w:pPr>
          </w:p>
        </w:tc>
      </w:tr>
    </w:tbl>
    <w:p>
      <w:pPr>
        <w:adjustRightInd w:val="0"/>
        <w:snapToGrid w:val="0"/>
        <w:spacing w:beforeLines="50"/>
        <w:jc w:val="left"/>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ºÚÌå">
    <w:altName w:val="Arial"/>
    <w:panose1 w:val="00000000000000000000"/>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18</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2BAA"/>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1B523E7"/>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7F87072"/>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B1353D"/>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0"/>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0"/>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Char"/>
    <w:link w:val="2"/>
    <w:qFormat/>
    <w:locked/>
    <w:uiPriority w:val="0"/>
    <w:rPr>
      <w:rFonts w:cs="Times New Roman"/>
      <w:b/>
      <w:bCs/>
      <w:kern w:val="44"/>
      <w:sz w:val="44"/>
      <w:szCs w:val="44"/>
    </w:rPr>
  </w:style>
  <w:style w:type="character" w:customStyle="1" w:styleId="38">
    <w:name w:val="正文文本缩进 Char"/>
    <w:link w:val="8"/>
    <w:qFormat/>
    <w:locked/>
    <w:uiPriority w:val="0"/>
    <w:rPr>
      <w:rFonts w:ascii="仿宋_GB2312" w:eastAsia="仿宋_GB2312" w:cs="Times New Roman"/>
      <w:kern w:val="2"/>
      <w:sz w:val="32"/>
    </w:rPr>
  </w:style>
  <w:style w:type="character" w:customStyle="1" w:styleId="39">
    <w:name w:val="标题 2 Char"/>
    <w:link w:val="3"/>
    <w:qFormat/>
    <w:locked/>
    <w:uiPriority w:val="0"/>
    <w:rPr>
      <w:rFonts w:ascii="宋体" w:eastAsia="宋体" w:cs="Times New Roman"/>
      <w:b/>
      <w:bCs/>
      <w:sz w:val="36"/>
      <w:szCs w:val="36"/>
    </w:rPr>
  </w:style>
  <w:style w:type="character" w:customStyle="1" w:styleId="40">
    <w:name w:val="正文文本缩进 3 Char"/>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Char"/>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Char"/>
    <w:link w:val="9"/>
    <w:qFormat/>
    <w:locked/>
    <w:uiPriority w:val="0"/>
    <w:rPr>
      <w:rFonts w:ascii="宋体" w:hAnsi="Courier New" w:cs="Times New Roman"/>
      <w:kern w:val="2"/>
      <w:sz w:val="21"/>
    </w:rPr>
  </w:style>
  <w:style w:type="character" w:customStyle="1" w:styleId="45">
    <w:name w:val="批注文字 Char"/>
    <w:link w:val="6"/>
    <w:qFormat/>
    <w:locked/>
    <w:uiPriority w:val="0"/>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Char"/>
    <w:link w:val="14"/>
    <w:qFormat/>
    <w:locked/>
    <w:uiPriority w:val="0"/>
    <w:rPr>
      <w:rFonts w:cs="Times New Roman"/>
      <w:sz w:val="18"/>
      <w:szCs w:val="18"/>
    </w:rPr>
  </w:style>
  <w:style w:type="character" w:customStyle="1" w:styleId="48">
    <w:name w:val="日期 Char"/>
    <w:link w:val="10"/>
    <w:qFormat/>
    <w:locked/>
    <w:uiPriority w:val="0"/>
    <w:rPr>
      <w:rFonts w:cs="Times New Roman"/>
      <w:sz w:val="24"/>
      <w:szCs w:val="24"/>
    </w:rPr>
  </w:style>
  <w:style w:type="character" w:customStyle="1" w:styleId="49">
    <w:name w:val="正文文本 Char"/>
    <w:link w:val="7"/>
    <w:qFormat/>
    <w:locked/>
    <w:uiPriority w:val="0"/>
    <w:rPr>
      <w:rFonts w:eastAsia="仿宋_GB2312" w:cs="Times New Roman"/>
      <w:kern w:val="2"/>
      <w:sz w:val="28"/>
    </w:rPr>
  </w:style>
  <w:style w:type="character" w:customStyle="1" w:styleId="50">
    <w:name w:val="页脚 Char"/>
    <w:link w:val="13"/>
    <w:qFormat/>
    <w:locked/>
    <w:uiPriority w:val="99"/>
    <w:rPr>
      <w:rFonts w:cs="Times New Roman"/>
      <w:sz w:val="18"/>
      <w:szCs w:val="18"/>
    </w:rPr>
  </w:style>
  <w:style w:type="character" w:customStyle="1" w:styleId="51">
    <w:name w:val="文档结构图 Char"/>
    <w:link w:val="5"/>
    <w:qFormat/>
    <w:locked/>
    <w:uiPriority w:val="0"/>
    <w:rPr>
      <w:rFonts w:ascii="宋体" w:cs="Times New Roman"/>
      <w:sz w:val="18"/>
      <w:szCs w:val="18"/>
    </w:rPr>
  </w:style>
  <w:style w:type="character" w:customStyle="1" w:styleId="52">
    <w:name w:val="批注主题 Char"/>
    <w:link w:val="17"/>
    <w:semiHidden/>
    <w:qFormat/>
    <w:locked/>
    <w:uiPriority w:val="0"/>
    <w:rPr>
      <w:rFonts w:ascii="Calibri" w:hAnsi="Calibri" w:cs="Calibri"/>
      <w:b/>
      <w:bCs/>
      <w:kern w:val="2"/>
      <w:sz w:val="21"/>
      <w:szCs w:val="21"/>
    </w:rPr>
  </w:style>
  <w:style w:type="character" w:customStyle="1" w:styleId="53">
    <w:name w:val="批注框文本 Char"/>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sdu</Company>
  <Pages>18</Pages>
  <Words>2375</Words>
  <Characters>13541</Characters>
  <Lines>112</Lines>
  <Paragraphs>31</Paragraphs>
  <TotalTime>138</TotalTime>
  <ScaleCrop>false</ScaleCrop>
  <LinksUpToDate>false</LinksUpToDate>
  <CharactersWithSpaces>15885</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2021-04-21T00:48:00Z</dcterms:created>
  <dc:creator>LIU</dc:creator>
  <cp:lastModifiedBy>信仰</cp:lastModifiedBy>
  <cp:lastPrinted>2021-06-15T07:06:00Z</cp:lastPrinted>
  <dcterms:modified xsi:type="dcterms:W3CDTF">2021-07-02T08:09:44Z</dcterms:modified>
  <dc: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4F9CAD1D17854D8B8EE756686A277007</vt:lpwstr>
  </property>
</Properties>
</file>